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16A65" w14:textId="77777777" w:rsidR="00A744DB" w:rsidRPr="00987394" w:rsidRDefault="00A744DB" w:rsidP="00A744DB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987394">
        <w:rPr>
          <w:noProof/>
        </w:rPr>
        <w:drawing>
          <wp:inline distT="0" distB="0" distL="0" distR="0" wp14:anchorId="60F66194" wp14:editId="670A4CC5">
            <wp:extent cx="2305050" cy="95502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413" cy="96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B6A12" w14:textId="77777777" w:rsidR="00A744DB" w:rsidRPr="00987394" w:rsidRDefault="00A744DB" w:rsidP="00A744DB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08813C63" w14:textId="0EA3B86F" w:rsidR="00A744DB" w:rsidRPr="00987394" w:rsidRDefault="00A744DB" w:rsidP="00A744DB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E7745C">
        <w:rPr>
          <w:rFonts w:ascii="Verdana" w:hAnsi="Verdana"/>
          <w:b/>
          <w:bCs/>
          <w:sz w:val="20"/>
          <w:szCs w:val="20"/>
        </w:rPr>
        <w:t xml:space="preserve">Occasional Paper, </w:t>
      </w:r>
      <w:r w:rsidR="00C97977" w:rsidRPr="00E7745C">
        <w:rPr>
          <w:rFonts w:ascii="Verdana" w:hAnsi="Verdana"/>
          <w:b/>
          <w:bCs/>
          <w:sz w:val="20"/>
          <w:szCs w:val="20"/>
        </w:rPr>
        <w:t>March</w:t>
      </w:r>
      <w:r w:rsidR="00C40EEE" w:rsidRPr="00E7745C">
        <w:rPr>
          <w:rFonts w:ascii="Verdana" w:hAnsi="Verdana"/>
          <w:b/>
          <w:bCs/>
          <w:sz w:val="20"/>
          <w:szCs w:val="20"/>
        </w:rPr>
        <w:t xml:space="preserve"> </w:t>
      </w:r>
      <w:r w:rsidRPr="00E7745C">
        <w:rPr>
          <w:rFonts w:ascii="Verdana" w:hAnsi="Verdana"/>
          <w:b/>
          <w:bCs/>
          <w:sz w:val="20"/>
          <w:szCs w:val="20"/>
        </w:rPr>
        <w:t>2023</w:t>
      </w:r>
    </w:p>
    <w:p w14:paraId="47ACAF1F" w14:textId="77777777" w:rsidR="00A744DB" w:rsidRPr="00987394" w:rsidRDefault="00A744DB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</w:p>
    <w:p w14:paraId="143F7FC9" w14:textId="6423ACE5" w:rsidR="008175DB" w:rsidRPr="00987394" w:rsidRDefault="009B2AA2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987394">
        <w:rPr>
          <w:rFonts w:ascii="Verdana" w:eastAsia="Times New Roman" w:hAnsi="Verdana" w:cs="Times New Roman"/>
          <w:b/>
          <w:bCs/>
          <w:sz w:val="20"/>
          <w:szCs w:val="20"/>
        </w:rPr>
        <w:t xml:space="preserve">How </w:t>
      </w:r>
      <w:r w:rsidR="00710758" w:rsidRPr="00987394">
        <w:rPr>
          <w:rFonts w:ascii="Verdana" w:eastAsia="Times New Roman" w:hAnsi="Verdana" w:cs="Times New Roman"/>
          <w:b/>
          <w:bCs/>
          <w:sz w:val="20"/>
          <w:szCs w:val="20"/>
        </w:rPr>
        <w:t xml:space="preserve">Community Colleges </w:t>
      </w:r>
      <w:r w:rsidRPr="00987394">
        <w:rPr>
          <w:rFonts w:ascii="Verdana" w:eastAsia="Times New Roman" w:hAnsi="Verdana" w:cs="Times New Roman"/>
          <w:b/>
          <w:bCs/>
          <w:sz w:val="20"/>
          <w:szCs w:val="20"/>
        </w:rPr>
        <w:t>Organize Knowledge To Be Learned</w:t>
      </w:r>
      <w:r w:rsidR="00B66A84" w:rsidRPr="00987394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</w:p>
    <w:p w14:paraId="219DCC34" w14:textId="77777777" w:rsidR="00A623FA" w:rsidRPr="00987394" w:rsidRDefault="00A623FA" w:rsidP="00A623FA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6FAFA11B" w14:textId="77777777" w:rsidR="00987394" w:rsidRPr="00987394" w:rsidRDefault="00987394" w:rsidP="00A623FA">
      <w:pPr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987394">
        <w:rPr>
          <w:rFonts w:ascii="Verdana" w:hAnsi="Verdana" w:cs="Times New Roman"/>
          <w:i/>
          <w:iCs/>
          <w:sz w:val="20"/>
          <w:szCs w:val="20"/>
        </w:rPr>
        <w:t>By Cindy L. Miles and Terry O’Banion</w:t>
      </w:r>
    </w:p>
    <w:p w14:paraId="6DE0B6D7" w14:textId="77777777" w:rsidR="00987394" w:rsidRDefault="00987394" w:rsidP="00A623FA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6B1FF62D" w14:textId="7B4D8627" w:rsidR="0079432F" w:rsidRDefault="00E7745C" w:rsidP="00E7745C">
      <w:pPr>
        <w:spacing w:after="0" w:line="240" w:lineRule="auto"/>
        <w:rPr>
          <w:rStyle w:val="A4"/>
          <w:rFonts w:ascii="Verdana" w:hAnsi="Verdana" w:cstheme="minorHAnsi"/>
          <w:color w:val="auto"/>
          <w:sz w:val="20"/>
          <w:szCs w:val="20"/>
        </w:rPr>
      </w:pPr>
      <w:r>
        <w:rPr>
          <w:rStyle w:val="A4"/>
          <w:rFonts w:ascii="Verdana" w:hAnsi="Verdana" w:cstheme="minorHAnsi"/>
          <w:color w:val="auto"/>
          <w:sz w:val="20"/>
          <w:szCs w:val="20"/>
        </w:rPr>
        <w:t>Authors’ Note: T</w:t>
      </w:r>
      <w:r w:rsidR="009F6534" w:rsidRPr="006968A4">
        <w:rPr>
          <w:rStyle w:val="A4"/>
          <w:rFonts w:ascii="Verdana" w:hAnsi="Verdana" w:cstheme="minorHAnsi"/>
          <w:color w:val="auto"/>
          <w:sz w:val="20"/>
          <w:szCs w:val="20"/>
        </w:rPr>
        <w:t xml:space="preserve">his </w:t>
      </w:r>
      <w:r>
        <w:rPr>
          <w:rStyle w:val="A4"/>
          <w:rFonts w:ascii="Verdana" w:hAnsi="Verdana" w:cstheme="minorHAnsi"/>
          <w:color w:val="auto"/>
          <w:sz w:val="20"/>
          <w:szCs w:val="20"/>
        </w:rPr>
        <w:t>article</w:t>
      </w:r>
      <w:r w:rsidR="009F6534" w:rsidRPr="006968A4">
        <w:rPr>
          <w:rStyle w:val="A4"/>
          <w:rFonts w:ascii="Verdana" w:hAnsi="Verdana" w:cstheme="minorHAnsi"/>
          <w:color w:val="auto"/>
          <w:sz w:val="20"/>
          <w:szCs w:val="20"/>
        </w:rPr>
        <w:t xml:space="preserve"> is </w:t>
      </w:r>
      <w:r>
        <w:rPr>
          <w:rStyle w:val="A4"/>
          <w:rFonts w:ascii="Verdana" w:hAnsi="Verdana" w:cstheme="minorHAnsi"/>
          <w:color w:val="auto"/>
          <w:sz w:val="20"/>
          <w:szCs w:val="20"/>
        </w:rPr>
        <w:t xml:space="preserve">largely </w:t>
      </w:r>
      <w:r w:rsidR="009F6534" w:rsidRPr="006968A4">
        <w:rPr>
          <w:rStyle w:val="A4"/>
          <w:rFonts w:ascii="Verdana" w:hAnsi="Verdana" w:cstheme="minorHAnsi"/>
          <w:color w:val="auto"/>
          <w:sz w:val="20"/>
          <w:szCs w:val="20"/>
        </w:rPr>
        <w:t xml:space="preserve">excerpted from the authors’ full study report, </w:t>
      </w:r>
      <w:r w:rsidR="009F6534" w:rsidRPr="006968A4">
        <w:rPr>
          <w:rFonts w:ascii="Verdana" w:hAnsi="Verdana" w:cstheme="minorHAnsi"/>
          <w:iCs/>
          <w:sz w:val="20"/>
          <w:szCs w:val="20"/>
        </w:rPr>
        <w:t xml:space="preserve">The </w:t>
      </w:r>
      <w:r>
        <w:rPr>
          <w:rFonts w:ascii="Verdana" w:hAnsi="Verdana" w:cstheme="minorHAnsi"/>
          <w:iCs/>
          <w:sz w:val="20"/>
          <w:szCs w:val="20"/>
        </w:rPr>
        <w:t>P</w:t>
      </w:r>
      <w:r w:rsidR="009F6534" w:rsidRPr="006968A4">
        <w:rPr>
          <w:rFonts w:ascii="Verdana" w:hAnsi="Verdana" w:cstheme="minorHAnsi"/>
          <w:iCs/>
          <w:sz w:val="20"/>
          <w:szCs w:val="20"/>
        </w:rPr>
        <w:t xml:space="preserve">hilosophy and </w:t>
      </w:r>
      <w:r>
        <w:rPr>
          <w:rFonts w:ascii="Verdana" w:hAnsi="Verdana" w:cstheme="minorHAnsi"/>
          <w:iCs/>
          <w:sz w:val="20"/>
          <w:szCs w:val="20"/>
        </w:rPr>
        <w:t>P</w:t>
      </w:r>
      <w:r w:rsidR="009F6534" w:rsidRPr="006968A4">
        <w:rPr>
          <w:rFonts w:ascii="Verdana" w:hAnsi="Verdana" w:cstheme="minorHAnsi"/>
          <w:iCs/>
          <w:sz w:val="20"/>
          <w:szCs w:val="20"/>
        </w:rPr>
        <w:t xml:space="preserve">ractice of </w:t>
      </w:r>
      <w:r>
        <w:rPr>
          <w:rFonts w:ascii="Verdana" w:hAnsi="Verdana" w:cstheme="minorHAnsi"/>
          <w:iCs/>
          <w:sz w:val="20"/>
          <w:szCs w:val="20"/>
        </w:rPr>
        <w:t>G</w:t>
      </w:r>
      <w:r w:rsidR="009F6534" w:rsidRPr="006968A4">
        <w:rPr>
          <w:rFonts w:ascii="Verdana" w:hAnsi="Verdana" w:cstheme="minorHAnsi"/>
          <w:iCs/>
          <w:sz w:val="20"/>
          <w:szCs w:val="20"/>
        </w:rPr>
        <w:t xml:space="preserve">eneral </w:t>
      </w:r>
      <w:r>
        <w:rPr>
          <w:rFonts w:ascii="Verdana" w:hAnsi="Verdana" w:cstheme="minorHAnsi"/>
          <w:iCs/>
          <w:sz w:val="20"/>
          <w:szCs w:val="20"/>
        </w:rPr>
        <w:t>E</w:t>
      </w:r>
      <w:r w:rsidR="009F6534" w:rsidRPr="006968A4">
        <w:rPr>
          <w:rFonts w:ascii="Verdana" w:hAnsi="Verdana" w:cstheme="minorHAnsi"/>
          <w:iCs/>
          <w:sz w:val="20"/>
          <w:szCs w:val="20"/>
        </w:rPr>
        <w:t xml:space="preserve">ducation in </w:t>
      </w:r>
      <w:r>
        <w:rPr>
          <w:rFonts w:ascii="Verdana" w:hAnsi="Verdana" w:cstheme="minorHAnsi"/>
          <w:iCs/>
          <w:sz w:val="20"/>
          <w:szCs w:val="20"/>
        </w:rPr>
        <w:t>C</w:t>
      </w:r>
      <w:r w:rsidR="009F6534" w:rsidRPr="006968A4">
        <w:rPr>
          <w:rFonts w:ascii="Verdana" w:hAnsi="Verdana" w:cstheme="minorHAnsi"/>
          <w:iCs/>
          <w:sz w:val="20"/>
          <w:szCs w:val="20"/>
        </w:rPr>
        <w:t xml:space="preserve">ommunity </w:t>
      </w:r>
      <w:r>
        <w:rPr>
          <w:rFonts w:ascii="Verdana" w:hAnsi="Verdana" w:cstheme="minorHAnsi"/>
          <w:iCs/>
          <w:sz w:val="20"/>
          <w:szCs w:val="20"/>
        </w:rPr>
        <w:t>C</w:t>
      </w:r>
      <w:r w:rsidR="009F6534" w:rsidRPr="006968A4">
        <w:rPr>
          <w:rFonts w:ascii="Verdana" w:hAnsi="Verdana" w:cstheme="minorHAnsi"/>
          <w:iCs/>
          <w:sz w:val="20"/>
          <w:szCs w:val="20"/>
        </w:rPr>
        <w:t xml:space="preserve">olleges in the United States, </w:t>
      </w:r>
      <w:r w:rsidR="009F6534" w:rsidRPr="006968A4">
        <w:rPr>
          <w:rStyle w:val="A4"/>
          <w:rFonts w:ascii="Verdana" w:hAnsi="Verdana" w:cstheme="minorHAnsi"/>
          <w:color w:val="auto"/>
          <w:sz w:val="20"/>
          <w:szCs w:val="20"/>
        </w:rPr>
        <w:t xml:space="preserve">which was presented as a paper </w:t>
      </w:r>
      <w:r w:rsidR="00025864">
        <w:rPr>
          <w:rStyle w:val="A4"/>
          <w:rFonts w:ascii="Verdana" w:hAnsi="Verdana" w:cstheme="minorHAnsi"/>
          <w:color w:val="auto"/>
          <w:sz w:val="20"/>
          <w:szCs w:val="20"/>
        </w:rPr>
        <w:t>at</w:t>
      </w:r>
      <w:r w:rsidR="009F6534" w:rsidRPr="006968A4">
        <w:rPr>
          <w:rStyle w:val="A4"/>
          <w:rFonts w:ascii="Verdana" w:hAnsi="Verdana" w:cstheme="minorHAnsi"/>
          <w:color w:val="auto"/>
          <w:sz w:val="20"/>
          <w:szCs w:val="20"/>
        </w:rPr>
        <w:t xml:space="preserve"> the </w:t>
      </w:r>
      <w:r w:rsidR="009F6534" w:rsidRPr="00510B95">
        <w:rPr>
          <w:rFonts w:ascii="Verdana" w:hAnsi="Verdana" w:cstheme="minorHAnsi"/>
          <w:i/>
          <w:sz w:val="20"/>
          <w:szCs w:val="20"/>
        </w:rPr>
        <w:t>2022 International Symposium on General Education</w:t>
      </w:r>
      <w:r w:rsidR="009F6534" w:rsidRPr="007E6E7E">
        <w:rPr>
          <w:rFonts w:ascii="Verdana" w:hAnsi="Verdana" w:cstheme="minorHAnsi"/>
          <w:iCs/>
          <w:sz w:val="20"/>
          <w:szCs w:val="20"/>
        </w:rPr>
        <w:t xml:space="preserve"> </w:t>
      </w:r>
      <w:r w:rsidR="009F6534" w:rsidRPr="006968A4">
        <w:rPr>
          <w:rStyle w:val="A4"/>
          <w:rFonts w:ascii="Verdana" w:hAnsi="Verdana" w:cstheme="minorHAnsi"/>
          <w:color w:val="auto"/>
          <w:sz w:val="20"/>
          <w:szCs w:val="20"/>
        </w:rPr>
        <w:t>and</w:t>
      </w:r>
      <w:r>
        <w:rPr>
          <w:rStyle w:val="A4"/>
          <w:rFonts w:ascii="Verdana" w:hAnsi="Verdana" w:cstheme="minorHAnsi"/>
          <w:color w:val="auto"/>
          <w:sz w:val="20"/>
          <w:szCs w:val="20"/>
        </w:rPr>
        <w:t xml:space="preserve"> published</w:t>
      </w:r>
      <w:r w:rsidR="009F6534" w:rsidRPr="006968A4">
        <w:rPr>
          <w:rStyle w:val="A4"/>
          <w:rFonts w:ascii="Verdana" w:hAnsi="Verdana" w:cstheme="minorHAnsi"/>
          <w:color w:val="auto"/>
          <w:sz w:val="20"/>
          <w:szCs w:val="20"/>
        </w:rPr>
        <w:t xml:space="preserve"> in the associated </w:t>
      </w:r>
      <w:r w:rsidR="009F6534" w:rsidRPr="006968A4">
        <w:rPr>
          <w:rStyle w:val="A4"/>
          <w:rFonts w:ascii="Verdana" w:hAnsi="Verdana" w:cstheme="minorHAnsi"/>
          <w:i w:val="0"/>
          <w:iCs w:val="0"/>
          <w:color w:val="auto"/>
          <w:sz w:val="20"/>
          <w:szCs w:val="20"/>
        </w:rPr>
        <w:t>Journal of General Education and Multi-Culture</w:t>
      </w:r>
      <w:r w:rsidR="009F6534" w:rsidRPr="006968A4">
        <w:rPr>
          <w:rStyle w:val="A4"/>
          <w:rFonts w:ascii="Verdana" w:hAnsi="Verdana" w:cstheme="minorHAnsi"/>
          <w:color w:val="auto"/>
          <w:sz w:val="20"/>
          <w:szCs w:val="20"/>
        </w:rPr>
        <w:t xml:space="preserve"> (2022), both </w:t>
      </w:r>
      <w:r w:rsidR="009F6534" w:rsidRPr="007F4BAC">
        <w:rPr>
          <w:rFonts w:ascii="Verdana" w:hAnsi="Verdana" w:cstheme="minorHAnsi"/>
          <w:i/>
          <w:sz w:val="20"/>
          <w:szCs w:val="20"/>
        </w:rPr>
        <w:t>sponsored by</w:t>
      </w:r>
      <w:r w:rsidR="009F6534" w:rsidRPr="007E6E7E">
        <w:rPr>
          <w:rFonts w:ascii="Verdana" w:hAnsi="Verdana" w:cstheme="minorHAnsi"/>
          <w:iCs/>
          <w:sz w:val="20"/>
          <w:szCs w:val="20"/>
        </w:rPr>
        <w:t xml:space="preserve"> </w:t>
      </w:r>
      <w:r w:rsidR="009F6534" w:rsidRPr="006968A4">
        <w:rPr>
          <w:rStyle w:val="A4"/>
          <w:rFonts w:ascii="Verdana" w:hAnsi="Verdana" w:cstheme="minorHAnsi"/>
          <w:color w:val="auto"/>
          <w:sz w:val="20"/>
          <w:szCs w:val="20"/>
        </w:rPr>
        <w:t>Shih Hsin University</w:t>
      </w:r>
      <w:r w:rsidR="00010534">
        <w:rPr>
          <w:rStyle w:val="A4"/>
          <w:rFonts w:ascii="Verdana" w:hAnsi="Verdana" w:cstheme="minorHAnsi"/>
          <w:color w:val="auto"/>
          <w:sz w:val="20"/>
          <w:szCs w:val="20"/>
        </w:rPr>
        <w:t>, Taiwan</w:t>
      </w:r>
      <w:r w:rsidR="009F6534" w:rsidRPr="006968A4">
        <w:rPr>
          <w:rStyle w:val="A4"/>
          <w:rFonts w:ascii="Verdana" w:hAnsi="Verdana" w:cstheme="minorHAnsi"/>
          <w:color w:val="auto"/>
          <w:sz w:val="20"/>
          <w:szCs w:val="20"/>
        </w:rPr>
        <w:t>. Excerpts of the full study</w:t>
      </w:r>
      <w:r w:rsidR="009F6534" w:rsidRPr="007E6E7E">
        <w:rPr>
          <w:rStyle w:val="A4"/>
          <w:rFonts w:ascii="Verdana" w:hAnsi="Verdana" w:cstheme="minorHAnsi"/>
          <w:color w:val="auto"/>
          <w:sz w:val="20"/>
          <w:szCs w:val="20"/>
        </w:rPr>
        <w:t xml:space="preserve"> </w:t>
      </w:r>
      <w:r w:rsidR="009F6534" w:rsidRPr="006968A4">
        <w:rPr>
          <w:rStyle w:val="A4"/>
          <w:rFonts w:ascii="Verdana" w:hAnsi="Verdana" w:cstheme="minorHAnsi"/>
          <w:color w:val="auto"/>
          <w:sz w:val="20"/>
          <w:szCs w:val="20"/>
        </w:rPr>
        <w:t xml:space="preserve">also appeared in the </w:t>
      </w:r>
      <w:r w:rsidR="009F6534">
        <w:rPr>
          <w:rStyle w:val="A4"/>
          <w:rFonts w:ascii="Verdana" w:hAnsi="Verdana" w:cstheme="minorHAnsi"/>
          <w:color w:val="auto"/>
          <w:sz w:val="20"/>
          <w:szCs w:val="20"/>
        </w:rPr>
        <w:t xml:space="preserve">League for Innovation in the Community College’s </w:t>
      </w:r>
      <w:r w:rsidR="009F6534" w:rsidRPr="006968A4">
        <w:rPr>
          <w:rStyle w:val="A4"/>
          <w:rFonts w:ascii="Verdana" w:hAnsi="Verdana" w:cstheme="minorHAnsi"/>
          <w:i w:val="0"/>
          <w:iCs w:val="0"/>
          <w:color w:val="auto"/>
          <w:sz w:val="20"/>
          <w:szCs w:val="20"/>
        </w:rPr>
        <w:t>Learning Abstracts</w:t>
      </w:r>
      <w:r w:rsidR="009F6534">
        <w:rPr>
          <w:rStyle w:val="A4"/>
          <w:rFonts w:ascii="Verdana" w:hAnsi="Verdana" w:cstheme="minorHAnsi"/>
          <w:i w:val="0"/>
          <w:iCs w:val="0"/>
          <w:color w:val="auto"/>
          <w:sz w:val="20"/>
          <w:szCs w:val="20"/>
        </w:rPr>
        <w:t>,</w:t>
      </w:r>
      <w:r w:rsidR="009F6534" w:rsidRPr="00C80AD8">
        <w:rPr>
          <w:rStyle w:val="A4"/>
          <w:rFonts w:ascii="Verdana" w:hAnsi="Verdana" w:cstheme="minorHAnsi"/>
          <w:i w:val="0"/>
          <w:iCs w:val="0"/>
          <w:color w:val="auto"/>
          <w:sz w:val="20"/>
          <w:szCs w:val="20"/>
        </w:rPr>
        <w:t xml:space="preserve"> 24</w:t>
      </w:r>
      <w:r w:rsidR="009F6534" w:rsidRPr="006968A4">
        <w:rPr>
          <w:rStyle w:val="A4"/>
          <w:rFonts w:ascii="Verdana" w:hAnsi="Verdana" w:cstheme="minorHAnsi"/>
          <w:color w:val="auto"/>
          <w:sz w:val="20"/>
          <w:szCs w:val="20"/>
        </w:rPr>
        <w:t xml:space="preserve">(12), </w:t>
      </w:r>
      <w:r w:rsidR="009F6534">
        <w:rPr>
          <w:rStyle w:val="A4"/>
          <w:rFonts w:ascii="Verdana" w:hAnsi="Verdana" w:cstheme="minorHAnsi"/>
          <w:color w:val="auto"/>
          <w:sz w:val="20"/>
          <w:szCs w:val="20"/>
        </w:rPr>
        <w:t>“</w:t>
      </w:r>
      <w:r w:rsidR="009F6534" w:rsidRPr="007E6E7E">
        <w:rPr>
          <w:rStyle w:val="A4"/>
          <w:rFonts w:ascii="Verdana" w:hAnsi="Verdana" w:cstheme="minorHAnsi"/>
          <w:color w:val="auto"/>
          <w:sz w:val="20"/>
          <w:szCs w:val="20"/>
        </w:rPr>
        <w:t>Understanding general education in the community college: A national study.</w:t>
      </w:r>
      <w:r w:rsidR="009F6534">
        <w:rPr>
          <w:rStyle w:val="A4"/>
          <w:rFonts w:ascii="Verdana" w:hAnsi="Verdana" w:cstheme="minorHAnsi"/>
          <w:color w:val="auto"/>
          <w:sz w:val="20"/>
          <w:szCs w:val="20"/>
        </w:rPr>
        <w:t>”</w:t>
      </w:r>
    </w:p>
    <w:p w14:paraId="335BF669" w14:textId="77777777" w:rsidR="00510B95" w:rsidRDefault="00510B95" w:rsidP="00E7745C">
      <w:pPr>
        <w:spacing w:after="0" w:line="240" w:lineRule="auto"/>
        <w:rPr>
          <w:rStyle w:val="A4"/>
          <w:rFonts w:ascii="Verdana" w:hAnsi="Verdana" w:cstheme="minorHAnsi"/>
          <w:color w:val="auto"/>
          <w:sz w:val="20"/>
          <w:szCs w:val="20"/>
        </w:rPr>
      </w:pPr>
    </w:p>
    <w:p w14:paraId="7095D36C" w14:textId="5E6256BB" w:rsidR="009467C1" w:rsidRPr="00987394" w:rsidRDefault="001A7268" w:rsidP="00A623FA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987394">
        <w:rPr>
          <w:rFonts w:ascii="Verdana" w:hAnsi="Verdana" w:cs="Times New Roman"/>
          <w:sz w:val="20"/>
          <w:szCs w:val="20"/>
        </w:rPr>
        <w:t>Human beings have a strong proclivity to create categories to organize their understanding and communicate it to othe</w:t>
      </w:r>
      <w:r w:rsidR="00237589" w:rsidRPr="00987394">
        <w:rPr>
          <w:rFonts w:ascii="Verdana" w:hAnsi="Verdana" w:cs="Times New Roman"/>
          <w:sz w:val="20"/>
          <w:szCs w:val="20"/>
        </w:rPr>
        <w:t>rs</w:t>
      </w:r>
      <w:r w:rsidRPr="00987394">
        <w:rPr>
          <w:rFonts w:ascii="Verdana" w:hAnsi="Verdana" w:cs="Times New Roman"/>
          <w:sz w:val="20"/>
          <w:szCs w:val="20"/>
        </w:rPr>
        <w:t xml:space="preserve">. </w:t>
      </w:r>
      <w:r w:rsidR="005F6D1E" w:rsidRPr="00987394">
        <w:rPr>
          <w:rFonts w:ascii="Verdana" w:hAnsi="Verdana" w:cs="Times New Roman"/>
          <w:sz w:val="20"/>
          <w:szCs w:val="20"/>
        </w:rPr>
        <w:t>This</w:t>
      </w:r>
      <w:r w:rsidRPr="00987394">
        <w:rPr>
          <w:rFonts w:ascii="Verdana" w:hAnsi="Verdana" w:cs="Times New Roman"/>
          <w:sz w:val="20"/>
          <w:szCs w:val="20"/>
        </w:rPr>
        <w:t xml:space="preserve"> </w:t>
      </w:r>
      <w:r w:rsidR="00237589" w:rsidRPr="00987394">
        <w:rPr>
          <w:rFonts w:ascii="Verdana" w:hAnsi="Verdana" w:cs="Times New Roman"/>
          <w:sz w:val="20"/>
          <w:szCs w:val="20"/>
        </w:rPr>
        <w:t xml:space="preserve">organizing tendency </w:t>
      </w:r>
      <w:r w:rsidRPr="00987394">
        <w:rPr>
          <w:rFonts w:ascii="Verdana" w:hAnsi="Verdana" w:cs="Times New Roman"/>
          <w:sz w:val="20"/>
          <w:szCs w:val="20"/>
        </w:rPr>
        <w:t>holds true in education as one way of answering what should be taught and what students</w:t>
      </w:r>
      <w:r w:rsidR="00BD3804" w:rsidRPr="00987394">
        <w:rPr>
          <w:rFonts w:ascii="Verdana" w:hAnsi="Verdana" w:cs="Times New Roman"/>
          <w:sz w:val="20"/>
          <w:szCs w:val="20"/>
        </w:rPr>
        <w:t xml:space="preserve"> should</w:t>
      </w:r>
      <w:r w:rsidRPr="00987394">
        <w:rPr>
          <w:rFonts w:ascii="Verdana" w:hAnsi="Verdana" w:cs="Times New Roman"/>
          <w:sz w:val="20"/>
          <w:szCs w:val="20"/>
        </w:rPr>
        <w:t xml:space="preserve"> learn. Educational </w:t>
      </w:r>
      <w:r w:rsidR="00551EAD" w:rsidRPr="00987394">
        <w:rPr>
          <w:rFonts w:ascii="Verdana" w:hAnsi="Verdana" w:cs="Times New Roman"/>
          <w:sz w:val="20"/>
          <w:szCs w:val="20"/>
        </w:rPr>
        <w:t xml:space="preserve">classification systems </w:t>
      </w:r>
      <w:r w:rsidRPr="00987394">
        <w:rPr>
          <w:rFonts w:ascii="Verdana" w:hAnsi="Verdana" w:cs="Times New Roman"/>
          <w:sz w:val="20"/>
          <w:szCs w:val="20"/>
        </w:rPr>
        <w:t xml:space="preserve">have been compiled for thousands of years in the form of disciplines, content areas, subject matter, fields of study, programs, and, more recently, meta-majors. </w:t>
      </w:r>
      <w:r w:rsidR="009467C1" w:rsidRPr="00987394">
        <w:rPr>
          <w:rFonts w:ascii="Verdana" w:hAnsi="Verdana" w:cs="Times New Roman"/>
          <w:sz w:val="20"/>
          <w:szCs w:val="20"/>
        </w:rPr>
        <w:t xml:space="preserve">The simplest </w:t>
      </w:r>
      <w:r w:rsidR="00551EAD" w:rsidRPr="00987394">
        <w:rPr>
          <w:rFonts w:ascii="Verdana" w:hAnsi="Verdana" w:cs="Times New Roman"/>
          <w:sz w:val="20"/>
          <w:szCs w:val="20"/>
        </w:rPr>
        <w:t xml:space="preserve">categorization </w:t>
      </w:r>
      <w:r w:rsidR="009467C1" w:rsidRPr="00987394">
        <w:rPr>
          <w:rFonts w:ascii="Verdana" w:hAnsi="Verdana" w:cs="Times New Roman"/>
          <w:sz w:val="20"/>
          <w:szCs w:val="20"/>
        </w:rPr>
        <w:t>may be reflected in the</w:t>
      </w:r>
      <w:r w:rsidR="00D5087B">
        <w:rPr>
          <w:rFonts w:ascii="Verdana" w:hAnsi="Verdana" w:cs="Times New Roman"/>
          <w:sz w:val="20"/>
          <w:szCs w:val="20"/>
        </w:rPr>
        <w:t xml:space="preserve"> chorus of a</w:t>
      </w:r>
      <w:r w:rsidR="009467C1" w:rsidRPr="00987394">
        <w:rPr>
          <w:rFonts w:ascii="Verdana" w:hAnsi="Verdana" w:cs="Times New Roman"/>
          <w:sz w:val="20"/>
          <w:szCs w:val="20"/>
        </w:rPr>
        <w:t xml:space="preserve"> </w:t>
      </w:r>
      <w:r w:rsidR="00D1765C" w:rsidRPr="00987394">
        <w:rPr>
          <w:rFonts w:ascii="Verdana" w:hAnsi="Verdana" w:cs="Times New Roman"/>
          <w:sz w:val="20"/>
          <w:szCs w:val="20"/>
        </w:rPr>
        <w:t xml:space="preserve">1907 </w:t>
      </w:r>
      <w:r w:rsidR="001D5069" w:rsidRPr="00987394">
        <w:rPr>
          <w:rFonts w:ascii="Verdana" w:hAnsi="Verdana" w:cs="Times New Roman"/>
          <w:sz w:val="20"/>
          <w:szCs w:val="20"/>
        </w:rPr>
        <w:t>son</w:t>
      </w:r>
      <w:r w:rsidR="008E30BA" w:rsidRPr="00987394">
        <w:rPr>
          <w:rFonts w:ascii="Verdana" w:hAnsi="Verdana" w:cs="Times New Roman"/>
          <w:sz w:val="20"/>
          <w:szCs w:val="20"/>
        </w:rPr>
        <w:t xml:space="preserve">g </w:t>
      </w:r>
      <w:r w:rsidR="00EB7C9B">
        <w:rPr>
          <w:rFonts w:ascii="Verdana" w:hAnsi="Verdana" w:cs="Times New Roman"/>
          <w:sz w:val="20"/>
          <w:szCs w:val="20"/>
        </w:rPr>
        <w:t xml:space="preserve">by Cobb and Edwards </w:t>
      </w:r>
      <w:r w:rsidR="008E30BA" w:rsidRPr="00987394">
        <w:rPr>
          <w:rFonts w:ascii="Verdana" w:hAnsi="Verdana" w:cs="Times New Roman"/>
          <w:sz w:val="20"/>
          <w:szCs w:val="20"/>
        </w:rPr>
        <w:t>about</w:t>
      </w:r>
      <w:r w:rsidR="009467C1" w:rsidRPr="00987394">
        <w:rPr>
          <w:rFonts w:ascii="Verdana" w:hAnsi="Verdana" w:cs="Times New Roman"/>
          <w:sz w:val="20"/>
          <w:szCs w:val="20"/>
        </w:rPr>
        <w:t xml:space="preserve"> </w:t>
      </w:r>
      <w:r w:rsidR="000D0266" w:rsidRPr="00987394">
        <w:rPr>
          <w:rFonts w:ascii="Verdana" w:hAnsi="Verdana" w:cs="Times New Roman"/>
          <w:sz w:val="20"/>
          <w:szCs w:val="20"/>
        </w:rPr>
        <w:t>young</w:t>
      </w:r>
      <w:r w:rsidR="009467C1" w:rsidRPr="00987394">
        <w:rPr>
          <w:rFonts w:ascii="Verdana" w:hAnsi="Verdana" w:cs="Times New Roman"/>
          <w:sz w:val="20"/>
          <w:szCs w:val="20"/>
        </w:rPr>
        <w:t xml:space="preserve"> children playing on the school grounds</w:t>
      </w:r>
      <w:r w:rsidR="001D5069" w:rsidRPr="00987394">
        <w:rPr>
          <w:rFonts w:ascii="Verdana" w:hAnsi="Verdana" w:cs="Times New Roman"/>
          <w:sz w:val="20"/>
          <w:szCs w:val="20"/>
        </w:rPr>
        <w:t xml:space="preserve">: </w:t>
      </w:r>
    </w:p>
    <w:p w14:paraId="179BF8F9" w14:textId="77777777" w:rsidR="00A623FA" w:rsidRPr="00987394" w:rsidRDefault="00A623FA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Verdana" w:eastAsia="Times New Roman" w:hAnsi="Verdana" w:cs="Times New Roman"/>
          <w:sz w:val="20"/>
          <w:szCs w:val="20"/>
        </w:rPr>
      </w:pPr>
    </w:p>
    <w:p w14:paraId="61616086" w14:textId="3DAFAD66" w:rsidR="009467C1" w:rsidRPr="00987394" w:rsidRDefault="009467C1" w:rsidP="00FA5E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</w:rPr>
      </w:pPr>
      <w:r w:rsidRPr="00987394">
        <w:rPr>
          <w:rFonts w:ascii="Verdana" w:eastAsia="Times New Roman" w:hAnsi="Verdana" w:cs="Times New Roman"/>
          <w:sz w:val="20"/>
          <w:szCs w:val="20"/>
        </w:rPr>
        <w:t xml:space="preserve">School days, </w:t>
      </w:r>
      <w:hyperlink r:id="rId9" w:history="1">
        <w:r w:rsidRPr="00987394">
          <w:rPr>
            <w:rFonts w:ascii="Verdana" w:eastAsia="Times New Roman" w:hAnsi="Verdana" w:cs="Times New Roman"/>
            <w:sz w:val="20"/>
            <w:szCs w:val="20"/>
          </w:rPr>
          <w:t>school</w:t>
        </w:r>
      </w:hyperlink>
      <w:r w:rsidRPr="00987394">
        <w:rPr>
          <w:rFonts w:ascii="Verdana" w:eastAsia="Times New Roman" w:hAnsi="Verdana" w:cs="Times New Roman"/>
          <w:sz w:val="20"/>
          <w:szCs w:val="20"/>
        </w:rPr>
        <w:t xml:space="preserve"> days</w:t>
      </w:r>
      <w:r w:rsidR="009540A8" w:rsidRPr="00987394">
        <w:rPr>
          <w:rFonts w:ascii="Verdana" w:eastAsia="Times New Roman" w:hAnsi="Verdana" w:cs="Times New Roman"/>
          <w:sz w:val="20"/>
          <w:szCs w:val="20"/>
        </w:rPr>
        <w:t>,</w:t>
      </w:r>
    </w:p>
    <w:p w14:paraId="6FC0CD04" w14:textId="0F5D7C60" w:rsidR="009467C1" w:rsidRPr="00987394" w:rsidRDefault="009467C1" w:rsidP="00FA5E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</w:rPr>
      </w:pPr>
      <w:r w:rsidRPr="00987394">
        <w:rPr>
          <w:rFonts w:ascii="Verdana" w:eastAsia="Times New Roman" w:hAnsi="Verdana" w:cs="Times New Roman"/>
          <w:sz w:val="20"/>
          <w:szCs w:val="20"/>
        </w:rPr>
        <w:t xml:space="preserve">Dear old </w:t>
      </w:r>
      <w:hyperlink r:id="rId10" w:history="1">
        <w:r w:rsidR="002521BB" w:rsidRPr="00987394">
          <w:rPr>
            <w:rFonts w:ascii="Verdana" w:eastAsia="Times New Roman" w:hAnsi="Verdana" w:cs="Times New Roman"/>
            <w:sz w:val="20"/>
            <w:szCs w:val="20"/>
          </w:rPr>
          <w:t>g</w:t>
        </w:r>
        <w:r w:rsidRPr="00987394">
          <w:rPr>
            <w:rFonts w:ascii="Verdana" w:eastAsia="Times New Roman" w:hAnsi="Verdana" w:cs="Times New Roman"/>
            <w:sz w:val="20"/>
            <w:szCs w:val="20"/>
          </w:rPr>
          <w:t>olden</w:t>
        </w:r>
      </w:hyperlink>
      <w:r w:rsidRPr="00987394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2521BB" w:rsidRPr="00987394">
        <w:rPr>
          <w:rFonts w:ascii="Verdana" w:eastAsia="Times New Roman" w:hAnsi="Verdana" w:cs="Times New Roman"/>
          <w:sz w:val="20"/>
          <w:szCs w:val="20"/>
        </w:rPr>
        <w:t>r</w:t>
      </w:r>
      <w:r w:rsidRPr="00987394">
        <w:rPr>
          <w:rFonts w:ascii="Verdana" w:eastAsia="Times New Roman" w:hAnsi="Verdana" w:cs="Times New Roman"/>
          <w:sz w:val="20"/>
          <w:szCs w:val="20"/>
        </w:rPr>
        <w:t>ule days</w:t>
      </w:r>
      <w:r w:rsidR="00045527" w:rsidRPr="00987394">
        <w:rPr>
          <w:rFonts w:ascii="Verdana" w:eastAsia="Times New Roman" w:hAnsi="Verdana" w:cs="Times New Roman"/>
          <w:sz w:val="20"/>
          <w:szCs w:val="20"/>
        </w:rPr>
        <w:t>,</w:t>
      </w:r>
    </w:p>
    <w:p w14:paraId="52861893" w14:textId="5B23E074" w:rsidR="009467C1" w:rsidRPr="00987394" w:rsidRDefault="009467C1" w:rsidP="00FA5E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</w:rPr>
      </w:pPr>
      <w:r w:rsidRPr="00987394">
        <w:rPr>
          <w:rFonts w:ascii="Verdana" w:eastAsia="Times New Roman" w:hAnsi="Verdana" w:cs="Times New Roman"/>
          <w:sz w:val="20"/>
          <w:szCs w:val="20"/>
        </w:rPr>
        <w:t>Readin</w:t>
      </w:r>
      <w:r w:rsidR="008E30BA" w:rsidRPr="00987394">
        <w:rPr>
          <w:rFonts w:ascii="Verdana" w:eastAsia="Times New Roman" w:hAnsi="Verdana" w:cs="Times New Roman"/>
          <w:sz w:val="20"/>
          <w:szCs w:val="20"/>
        </w:rPr>
        <w:t>’</w:t>
      </w:r>
      <w:r w:rsidRPr="00987394">
        <w:rPr>
          <w:rFonts w:ascii="Verdana" w:eastAsia="Times New Roman" w:hAnsi="Verdana" w:cs="Times New Roman"/>
          <w:sz w:val="20"/>
          <w:szCs w:val="20"/>
        </w:rPr>
        <w:t xml:space="preserve"> and writin' and </w:t>
      </w:r>
      <w:r w:rsidR="00200B6C" w:rsidRPr="00987394">
        <w:rPr>
          <w:rFonts w:ascii="Verdana" w:eastAsia="Times New Roman" w:hAnsi="Verdana" w:cs="Times New Roman"/>
          <w:sz w:val="20"/>
          <w:szCs w:val="20"/>
        </w:rPr>
        <w:t>‘</w:t>
      </w:r>
      <w:r w:rsidRPr="00987394">
        <w:rPr>
          <w:rFonts w:ascii="Verdana" w:eastAsia="Times New Roman" w:hAnsi="Verdana" w:cs="Times New Roman"/>
          <w:sz w:val="20"/>
          <w:szCs w:val="20"/>
        </w:rPr>
        <w:t>rithmetic</w:t>
      </w:r>
      <w:r w:rsidR="008E30BA" w:rsidRPr="00987394">
        <w:rPr>
          <w:rFonts w:ascii="Verdana" w:eastAsia="Times New Roman" w:hAnsi="Verdana" w:cs="Times New Roman"/>
          <w:sz w:val="20"/>
          <w:szCs w:val="20"/>
        </w:rPr>
        <w:t>,</w:t>
      </w:r>
    </w:p>
    <w:p w14:paraId="7D699EA2" w14:textId="36A886BC" w:rsidR="009467C1" w:rsidRPr="00987394" w:rsidRDefault="009467C1" w:rsidP="00FA5E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</w:rPr>
      </w:pPr>
      <w:r w:rsidRPr="00987394">
        <w:rPr>
          <w:rFonts w:ascii="Verdana" w:eastAsia="Times New Roman" w:hAnsi="Verdana" w:cs="Times New Roman"/>
          <w:sz w:val="20"/>
          <w:szCs w:val="20"/>
        </w:rPr>
        <w:t xml:space="preserve">Taught to the tune of the </w:t>
      </w:r>
      <w:hyperlink r:id="rId11" w:history="1">
        <w:r w:rsidRPr="00987394">
          <w:rPr>
            <w:rFonts w:ascii="Verdana" w:eastAsia="Times New Roman" w:hAnsi="Verdana" w:cs="Times New Roman"/>
            <w:sz w:val="20"/>
            <w:szCs w:val="20"/>
          </w:rPr>
          <w:t>hick</w:t>
        </w:r>
        <w:r w:rsidR="00C630C7" w:rsidRPr="00987394">
          <w:rPr>
            <w:rFonts w:ascii="Verdana" w:eastAsia="Times New Roman" w:hAnsi="Verdana" w:cs="Times New Roman"/>
            <w:sz w:val="20"/>
            <w:szCs w:val="20"/>
          </w:rPr>
          <w:t>’</w:t>
        </w:r>
        <w:r w:rsidRPr="00987394">
          <w:rPr>
            <w:rFonts w:ascii="Verdana" w:eastAsia="Times New Roman" w:hAnsi="Verdana" w:cs="Times New Roman"/>
            <w:sz w:val="20"/>
            <w:szCs w:val="20"/>
          </w:rPr>
          <w:t>ry</w:t>
        </w:r>
      </w:hyperlink>
      <w:r w:rsidRPr="00987394">
        <w:rPr>
          <w:rFonts w:ascii="Verdana" w:eastAsia="Times New Roman" w:hAnsi="Verdana" w:cs="Times New Roman"/>
          <w:sz w:val="20"/>
          <w:szCs w:val="20"/>
        </w:rPr>
        <w:t xml:space="preserve"> stick</w:t>
      </w:r>
      <w:r w:rsidR="008E30BA" w:rsidRPr="00987394">
        <w:rPr>
          <w:rFonts w:ascii="Verdana" w:eastAsia="Times New Roman" w:hAnsi="Verdana" w:cs="Times New Roman"/>
          <w:sz w:val="20"/>
          <w:szCs w:val="20"/>
        </w:rPr>
        <w:t>,</w:t>
      </w:r>
    </w:p>
    <w:p w14:paraId="57F7A7E2" w14:textId="3BCB8CBE" w:rsidR="009467C1" w:rsidRPr="00987394" w:rsidRDefault="009467C1" w:rsidP="00FA5E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</w:rPr>
      </w:pPr>
      <w:r w:rsidRPr="00987394">
        <w:rPr>
          <w:rFonts w:ascii="Verdana" w:eastAsia="Times New Roman" w:hAnsi="Verdana" w:cs="Times New Roman"/>
          <w:sz w:val="20"/>
          <w:szCs w:val="20"/>
        </w:rPr>
        <w:t>You were</w:t>
      </w:r>
      <w:r w:rsidR="0092272B" w:rsidRPr="00987394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2521BB" w:rsidRPr="00987394">
        <w:rPr>
          <w:rFonts w:ascii="Verdana" w:eastAsia="Times New Roman" w:hAnsi="Verdana" w:cs="Times New Roman"/>
          <w:sz w:val="20"/>
          <w:szCs w:val="20"/>
        </w:rPr>
        <w:t>a Queen</w:t>
      </w:r>
      <w:r w:rsidRPr="00987394">
        <w:rPr>
          <w:rFonts w:ascii="Verdana" w:eastAsia="Times New Roman" w:hAnsi="Verdana" w:cs="Times New Roman"/>
          <w:sz w:val="20"/>
          <w:szCs w:val="20"/>
        </w:rPr>
        <w:t xml:space="preserve"> in calico</w:t>
      </w:r>
      <w:r w:rsidR="008E30BA" w:rsidRPr="00987394">
        <w:rPr>
          <w:rFonts w:ascii="Verdana" w:eastAsia="Times New Roman" w:hAnsi="Verdana" w:cs="Times New Roman"/>
          <w:sz w:val="20"/>
          <w:szCs w:val="20"/>
        </w:rPr>
        <w:t>,</w:t>
      </w:r>
    </w:p>
    <w:p w14:paraId="52F06CD5" w14:textId="4F3B9DDE" w:rsidR="009467C1" w:rsidRPr="00987394" w:rsidRDefault="009467C1" w:rsidP="00FA5E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</w:rPr>
      </w:pPr>
      <w:r w:rsidRPr="00987394">
        <w:rPr>
          <w:rFonts w:ascii="Verdana" w:eastAsia="Times New Roman" w:hAnsi="Verdana" w:cs="Times New Roman"/>
          <w:sz w:val="20"/>
          <w:szCs w:val="20"/>
        </w:rPr>
        <w:t xml:space="preserve">I was your </w:t>
      </w:r>
      <w:hyperlink r:id="rId12" w:history="1">
        <w:r w:rsidRPr="00987394">
          <w:rPr>
            <w:rFonts w:ascii="Verdana" w:eastAsia="Times New Roman" w:hAnsi="Verdana" w:cs="Times New Roman"/>
            <w:sz w:val="20"/>
            <w:szCs w:val="20"/>
          </w:rPr>
          <w:t>bashful</w:t>
        </w:r>
      </w:hyperlink>
      <w:r w:rsidRPr="00987394">
        <w:rPr>
          <w:rFonts w:ascii="Verdana" w:eastAsia="Times New Roman" w:hAnsi="Verdana" w:cs="Times New Roman"/>
          <w:sz w:val="20"/>
          <w:szCs w:val="20"/>
        </w:rPr>
        <w:t xml:space="preserve"> barefoot beau</w:t>
      </w:r>
      <w:r w:rsidR="008E30BA" w:rsidRPr="00987394">
        <w:rPr>
          <w:rFonts w:ascii="Verdana" w:eastAsia="Times New Roman" w:hAnsi="Verdana" w:cs="Times New Roman"/>
          <w:sz w:val="20"/>
          <w:szCs w:val="20"/>
        </w:rPr>
        <w:t>,</w:t>
      </w:r>
    </w:p>
    <w:p w14:paraId="6C8BF826" w14:textId="75107DD5" w:rsidR="009467C1" w:rsidRPr="00987394" w:rsidRDefault="009467C1" w:rsidP="00FA5E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</w:rPr>
      </w:pPr>
      <w:r w:rsidRPr="00987394">
        <w:rPr>
          <w:rFonts w:ascii="Verdana" w:eastAsia="Times New Roman" w:hAnsi="Verdana" w:cs="Times New Roman"/>
          <w:sz w:val="20"/>
          <w:szCs w:val="20"/>
        </w:rPr>
        <w:t xml:space="preserve">And you </w:t>
      </w:r>
      <w:hyperlink r:id="rId13" w:history="1">
        <w:r w:rsidRPr="00987394">
          <w:rPr>
            <w:rFonts w:ascii="Verdana" w:eastAsia="Times New Roman" w:hAnsi="Verdana" w:cs="Times New Roman"/>
            <w:sz w:val="20"/>
            <w:szCs w:val="20"/>
          </w:rPr>
          <w:t>wrote</w:t>
        </w:r>
      </w:hyperlink>
      <w:r w:rsidRPr="00987394">
        <w:rPr>
          <w:rFonts w:ascii="Verdana" w:eastAsia="Times New Roman" w:hAnsi="Verdana" w:cs="Times New Roman"/>
          <w:sz w:val="20"/>
          <w:szCs w:val="20"/>
        </w:rPr>
        <w:t xml:space="preserve"> on my slate, I love you, Joe</w:t>
      </w:r>
      <w:r w:rsidR="00BD2EDE" w:rsidRPr="00987394">
        <w:rPr>
          <w:rFonts w:ascii="Verdana" w:eastAsia="Times New Roman" w:hAnsi="Verdana" w:cs="Times New Roman"/>
          <w:sz w:val="20"/>
          <w:szCs w:val="20"/>
        </w:rPr>
        <w:t>,</w:t>
      </w:r>
    </w:p>
    <w:p w14:paraId="5937D4BB" w14:textId="0F2A49EC" w:rsidR="00D516AE" w:rsidRDefault="009467C1" w:rsidP="00FA5EC5">
      <w:pPr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</w:rPr>
      </w:pPr>
      <w:r w:rsidRPr="00987394">
        <w:rPr>
          <w:rFonts w:ascii="Verdana" w:eastAsia="Times New Roman" w:hAnsi="Verdana" w:cs="Times New Roman"/>
          <w:sz w:val="20"/>
          <w:szCs w:val="20"/>
        </w:rPr>
        <w:t xml:space="preserve">When we were a </w:t>
      </w:r>
      <w:hyperlink r:id="rId14" w:history="1">
        <w:r w:rsidRPr="00987394">
          <w:rPr>
            <w:rFonts w:ascii="Verdana" w:eastAsia="Times New Roman" w:hAnsi="Verdana" w:cs="Times New Roman"/>
            <w:sz w:val="20"/>
            <w:szCs w:val="20"/>
          </w:rPr>
          <w:t>couple</w:t>
        </w:r>
      </w:hyperlink>
      <w:r w:rsidRPr="00987394">
        <w:rPr>
          <w:rFonts w:ascii="Verdana" w:eastAsia="Times New Roman" w:hAnsi="Verdana" w:cs="Times New Roman"/>
          <w:sz w:val="20"/>
          <w:szCs w:val="20"/>
        </w:rPr>
        <w:t xml:space="preserve"> of kids. </w:t>
      </w:r>
    </w:p>
    <w:p w14:paraId="6462A02C" w14:textId="77777777" w:rsidR="00510B95" w:rsidRPr="00987394" w:rsidRDefault="00510B95" w:rsidP="00D5087B">
      <w:pPr>
        <w:spacing w:after="0" w:line="240" w:lineRule="auto"/>
        <w:ind w:left="2160"/>
        <w:rPr>
          <w:rFonts w:ascii="Verdana" w:eastAsia="Times New Roman" w:hAnsi="Verdana" w:cs="Times New Roman"/>
          <w:sz w:val="20"/>
          <w:szCs w:val="20"/>
        </w:rPr>
      </w:pPr>
    </w:p>
    <w:p w14:paraId="01C3C873" w14:textId="37BA42A9" w:rsidR="00695124" w:rsidRPr="00987394" w:rsidRDefault="00E850E5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bCs/>
          <w:strike/>
          <w:sz w:val="20"/>
          <w:szCs w:val="20"/>
        </w:rPr>
      </w:pPr>
      <w:r w:rsidRPr="00987394">
        <w:rPr>
          <w:rFonts w:ascii="Verdana" w:eastAsia="Times New Roman" w:hAnsi="Verdana" w:cs="Times New Roman"/>
          <w:sz w:val="20"/>
          <w:szCs w:val="20"/>
        </w:rPr>
        <w:t xml:space="preserve">Reading, writing, and </w:t>
      </w:r>
      <w:r w:rsidR="009540A8" w:rsidRPr="00987394">
        <w:rPr>
          <w:rFonts w:ascii="Verdana" w:eastAsia="Times New Roman" w:hAnsi="Verdana" w:cs="Times New Roman"/>
          <w:sz w:val="20"/>
          <w:szCs w:val="20"/>
        </w:rPr>
        <w:t>a</w:t>
      </w:r>
      <w:r w:rsidRPr="00987394">
        <w:rPr>
          <w:rFonts w:ascii="Verdana" w:eastAsia="Times New Roman" w:hAnsi="Verdana" w:cs="Times New Roman"/>
          <w:sz w:val="20"/>
          <w:szCs w:val="20"/>
        </w:rPr>
        <w:t>rithmeti</w:t>
      </w:r>
      <w:r w:rsidR="0083404B" w:rsidRPr="00987394">
        <w:rPr>
          <w:rFonts w:ascii="Verdana" w:eastAsia="Times New Roman" w:hAnsi="Verdana" w:cs="Times New Roman"/>
          <w:sz w:val="20"/>
          <w:szCs w:val="20"/>
        </w:rPr>
        <w:t xml:space="preserve">c </w:t>
      </w:r>
      <w:r w:rsidR="00BD2EDE" w:rsidRPr="00987394">
        <w:rPr>
          <w:rFonts w:ascii="Verdana" w:eastAsia="Times New Roman" w:hAnsi="Verdana" w:cs="Times New Roman"/>
          <w:sz w:val="20"/>
          <w:szCs w:val="20"/>
        </w:rPr>
        <w:t xml:space="preserve">were </w:t>
      </w:r>
      <w:r w:rsidRPr="00987394">
        <w:rPr>
          <w:rFonts w:ascii="Verdana" w:eastAsia="Times New Roman" w:hAnsi="Verdana" w:cs="Times New Roman"/>
          <w:sz w:val="20"/>
          <w:szCs w:val="20"/>
        </w:rPr>
        <w:t xml:space="preserve">the </w:t>
      </w:r>
      <w:r w:rsidR="009540A8" w:rsidRPr="00987394">
        <w:rPr>
          <w:rFonts w:ascii="Verdana" w:eastAsia="Times New Roman" w:hAnsi="Verdana" w:cs="Times New Roman"/>
          <w:sz w:val="20"/>
          <w:szCs w:val="20"/>
        </w:rPr>
        <w:t xml:space="preserve">general education </w:t>
      </w:r>
      <w:r w:rsidR="00EB5E25">
        <w:rPr>
          <w:rFonts w:ascii="Verdana" w:eastAsia="Times New Roman" w:hAnsi="Verdana" w:cs="Times New Roman"/>
          <w:sz w:val="20"/>
          <w:szCs w:val="20"/>
        </w:rPr>
        <w:t xml:space="preserve">(GE) </w:t>
      </w:r>
      <w:r w:rsidR="009540A8" w:rsidRPr="00987394">
        <w:rPr>
          <w:rFonts w:ascii="Verdana" w:eastAsia="Times New Roman" w:hAnsi="Verdana" w:cs="Times New Roman"/>
          <w:sz w:val="20"/>
          <w:szCs w:val="20"/>
        </w:rPr>
        <w:t xml:space="preserve">core </w:t>
      </w:r>
      <w:r w:rsidRPr="00987394">
        <w:rPr>
          <w:rFonts w:ascii="Verdana" w:eastAsia="Times New Roman" w:hAnsi="Verdana" w:cs="Times New Roman"/>
          <w:sz w:val="20"/>
          <w:szCs w:val="20"/>
        </w:rPr>
        <w:t xml:space="preserve">of learning as seen through the eyes of elementary school </w:t>
      </w:r>
      <w:r w:rsidR="00E772B8" w:rsidRPr="00987394">
        <w:rPr>
          <w:rFonts w:ascii="Verdana" w:eastAsia="Times New Roman" w:hAnsi="Verdana" w:cs="Times New Roman"/>
          <w:sz w:val="20"/>
          <w:szCs w:val="20"/>
        </w:rPr>
        <w:t>students and teachers</w:t>
      </w:r>
      <w:r w:rsidR="008C2A90" w:rsidRPr="00987394">
        <w:rPr>
          <w:rFonts w:ascii="Verdana" w:eastAsia="Times New Roman" w:hAnsi="Verdana" w:cs="Times New Roman"/>
          <w:sz w:val="20"/>
          <w:szCs w:val="20"/>
        </w:rPr>
        <w:t xml:space="preserve">. </w:t>
      </w:r>
    </w:p>
    <w:p w14:paraId="0222D72B" w14:textId="77777777" w:rsidR="00A623FA" w:rsidRPr="00987394" w:rsidRDefault="00A623FA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11B45C76" w14:textId="278B0C51" w:rsidR="00933253" w:rsidRPr="00987394" w:rsidRDefault="00695124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Among </w:t>
      </w:r>
      <w:r w:rsidR="007B208F" w:rsidRPr="00987394">
        <w:rPr>
          <w:rFonts w:ascii="Verdana" w:hAnsi="Verdana" w:cs="Times New Roman"/>
          <w:sz w:val="20"/>
          <w:szCs w:val="20"/>
          <w:shd w:val="clear" w:color="auto" w:fill="FFFFFF"/>
        </w:rPr>
        <w:t>the oldest categorizations of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essential 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>elements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of </w:t>
      </w:r>
      <w:r w:rsidR="00715D8F" w:rsidRPr="00987394">
        <w:rPr>
          <w:rFonts w:ascii="Verdana" w:hAnsi="Verdana" w:cs="Times New Roman"/>
          <w:sz w:val="20"/>
          <w:szCs w:val="20"/>
          <w:shd w:val="clear" w:color="auto" w:fill="FFFFFF"/>
        </w:rPr>
        <w:t>higher learning</w:t>
      </w:r>
      <w:r w:rsidR="004D174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412047" w:rsidRPr="00987394">
        <w:rPr>
          <w:rFonts w:ascii="Verdana" w:hAnsi="Verdana" w:cs="Times New Roman"/>
          <w:sz w:val="20"/>
          <w:szCs w:val="20"/>
          <w:shd w:val="clear" w:color="auto" w:fill="FFFFFF"/>
        </w:rPr>
        <w:t>are</w:t>
      </w:r>
      <w:r w:rsidR="007B208F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the</w:t>
      </w:r>
      <w:r w:rsidR="008F20ED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574790" w:rsidRPr="00987394">
        <w:rPr>
          <w:rFonts w:ascii="Verdana" w:eastAsia="Times New Roman" w:hAnsi="Verdana" w:cs="Times New Roman"/>
          <w:i/>
          <w:iCs/>
          <w:sz w:val="20"/>
          <w:szCs w:val="20"/>
        </w:rPr>
        <w:t>trivium</w:t>
      </w:r>
      <w:r w:rsidR="00574790" w:rsidRPr="00987394">
        <w:rPr>
          <w:rFonts w:ascii="Verdana" w:eastAsia="Times New Roman" w:hAnsi="Verdana" w:cs="Times New Roman"/>
          <w:sz w:val="20"/>
          <w:szCs w:val="20"/>
        </w:rPr>
        <w:t xml:space="preserve"> (grammar, logic, and rhetoric) and </w:t>
      </w:r>
      <w:r w:rsidR="00574790" w:rsidRPr="00987394">
        <w:rPr>
          <w:rFonts w:ascii="Verdana" w:eastAsia="Times New Roman" w:hAnsi="Verdana" w:cs="Times New Roman"/>
          <w:i/>
          <w:iCs/>
          <w:sz w:val="20"/>
          <w:szCs w:val="20"/>
        </w:rPr>
        <w:t>quadrivium</w:t>
      </w:r>
      <w:r w:rsidR="00574790" w:rsidRPr="00987394">
        <w:rPr>
          <w:rFonts w:ascii="Verdana" w:eastAsia="Times New Roman" w:hAnsi="Verdana" w:cs="Times New Roman"/>
          <w:sz w:val="20"/>
          <w:szCs w:val="20"/>
        </w:rPr>
        <w:t xml:space="preserve"> (arithmetic, geometry, music, and astronomy)</w:t>
      </w:r>
      <w:r w:rsidR="00412047" w:rsidRPr="00987394">
        <w:rPr>
          <w:rFonts w:ascii="Verdana" w:eastAsia="Times New Roman" w:hAnsi="Verdana" w:cs="Times New Roman"/>
          <w:sz w:val="20"/>
          <w:szCs w:val="20"/>
        </w:rPr>
        <w:t xml:space="preserve"> that </w:t>
      </w:r>
      <w:r w:rsidR="00574790" w:rsidRPr="00987394">
        <w:rPr>
          <w:rFonts w:ascii="Verdana" w:eastAsia="Times New Roman" w:hAnsi="Verdana" w:cs="Times New Roman"/>
          <w:sz w:val="20"/>
          <w:szCs w:val="20"/>
        </w:rPr>
        <w:t xml:space="preserve">formed the classic seven liberal arts of 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>medieval universities</w:t>
      </w:r>
      <w:r w:rsidR="004161C5" w:rsidRPr="00987394">
        <w:rPr>
          <w:rFonts w:ascii="Verdana" w:hAnsi="Verdana" w:cs="Times New Roman"/>
          <w:sz w:val="20"/>
          <w:szCs w:val="20"/>
          <w:shd w:val="clear" w:color="auto" w:fill="FFFFFF"/>
        </w:rPr>
        <w:t>.</w:t>
      </w:r>
      <w:r w:rsidR="002F365E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W</w:t>
      </w:r>
      <w:r w:rsidR="006A54CA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hen 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Harvard University was established in the English colonies </w:t>
      </w:r>
      <w:r w:rsidR="006A54CA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in 1636, it 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incorporated </w:t>
      </w:r>
      <w:r w:rsidR="00642BD6" w:rsidRPr="00987394">
        <w:rPr>
          <w:rFonts w:ascii="Verdana" w:hAnsi="Verdana" w:cs="Times New Roman"/>
          <w:sz w:val="20"/>
          <w:szCs w:val="20"/>
          <w:shd w:val="clear" w:color="auto" w:fill="FFFFFF"/>
        </w:rPr>
        <w:t>a</w:t>
      </w:r>
      <w:r w:rsidR="006A54CA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642BD6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strict 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>classic core</w:t>
      </w:r>
      <w:r w:rsidR="00343B10">
        <w:rPr>
          <w:rFonts w:ascii="Verdana" w:hAnsi="Verdana" w:cs="Times New Roman"/>
          <w:sz w:val="20"/>
          <w:szCs w:val="20"/>
          <w:shd w:val="clear" w:color="auto" w:fill="FFFFFF"/>
        </w:rPr>
        <w:t>,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including </w:t>
      </w:r>
      <w:r w:rsidR="004161C5" w:rsidRPr="00987394">
        <w:rPr>
          <w:rFonts w:ascii="Verdana" w:hAnsi="Verdana" w:cs="Times New Roman"/>
          <w:sz w:val="20"/>
          <w:szCs w:val="20"/>
          <w:shd w:val="clear" w:color="auto" w:fill="FFFFFF"/>
        </w:rPr>
        <w:t>rh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etoric and </w:t>
      </w:r>
      <w:r w:rsidR="004161C5" w:rsidRPr="00987394">
        <w:rPr>
          <w:rFonts w:ascii="Verdana" w:hAnsi="Verdana" w:cs="Times New Roman"/>
          <w:sz w:val="20"/>
          <w:szCs w:val="20"/>
          <w:shd w:val="clear" w:color="auto" w:fill="FFFFFF"/>
        </w:rPr>
        <w:t>l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ogic, </w:t>
      </w:r>
      <w:r w:rsidR="004161C5" w:rsidRPr="00987394">
        <w:rPr>
          <w:rFonts w:ascii="Verdana" w:hAnsi="Verdana" w:cs="Times New Roman"/>
          <w:sz w:val="20"/>
          <w:szCs w:val="20"/>
          <w:shd w:val="clear" w:color="auto" w:fill="FFFFFF"/>
        </w:rPr>
        <w:t>e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thics and </w:t>
      </w:r>
      <w:r w:rsidR="004161C5" w:rsidRPr="00987394">
        <w:rPr>
          <w:rFonts w:ascii="Verdana" w:hAnsi="Verdana" w:cs="Times New Roman"/>
          <w:sz w:val="20"/>
          <w:szCs w:val="20"/>
          <w:shd w:val="clear" w:color="auto" w:fill="FFFFFF"/>
        </w:rPr>
        <w:t>p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olitics, 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>arithmetic,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4161C5" w:rsidRPr="00987394">
        <w:rPr>
          <w:rFonts w:ascii="Verdana" w:hAnsi="Verdana" w:cs="Times New Roman"/>
          <w:sz w:val="20"/>
          <w:szCs w:val="20"/>
          <w:shd w:val="clear" w:color="auto" w:fill="FFFFFF"/>
        </w:rPr>
        <w:t>g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eometry, and later, </w:t>
      </w:r>
      <w:r w:rsidR="004161C5" w:rsidRPr="00987394">
        <w:rPr>
          <w:rFonts w:ascii="Verdana" w:hAnsi="Verdana" w:cs="Times New Roman"/>
          <w:sz w:val="20"/>
          <w:szCs w:val="20"/>
          <w:shd w:val="clear" w:color="auto" w:fill="FFFFFF"/>
        </w:rPr>
        <w:t>a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lgebra, </w:t>
      </w:r>
      <w:r w:rsidR="004161C5" w:rsidRPr="00987394">
        <w:rPr>
          <w:rFonts w:ascii="Verdana" w:hAnsi="Verdana" w:cs="Times New Roman"/>
          <w:sz w:val="20"/>
          <w:szCs w:val="20"/>
          <w:shd w:val="clear" w:color="auto" w:fill="FFFFFF"/>
        </w:rPr>
        <w:t>a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stronomy, </w:t>
      </w:r>
      <w:r w:rsidR="004161C5" w:rsidRPr="00987394">
        <w:rPr>
          <w:rFonts w:ascii="Verdana" w:hAnsi="Verdana" w:cs="Times New Roman"/>
          <w:sz w:val="20"/>
          <w:szCs w:val="20"/>
          <w:shd w:val="clear" w:color="auto" w:fill="FFFFFF"/>
        </w:rPr>
        <w:t>p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hysics, </w:t>
      </w:r>
      <w:r w:rsidR="00E515A8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metaphysics, 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and </w:t>
      </w:r>
      <w:r w:rsidR="004161C5" w:rsidRPr="00987394">
        <w:rPr>
          <w:rFonts w:ascii="Verdana" w:hAnsi="Verdana" w:cs="Times New Roman"/>
          <w:sz w:val="20"/>
          <w:szCs w:val="20"/>
          <w:shd w:val="clear" w:color="auto" w:fill="FFFFFF"/>
        </w:rPr>
        <w:t>t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>heology (Harvard Library, n.d</w:t>
      </w:r>
      <w:r w:rsidR="008021F0" w:rsidRPr="00987394">
        <w:rPr>
          <w:rFonts w:ascii="Verdana" w:hAnsi="Verdana" w:cs="Times New Roman"/>
          <w:sz w:val="20"/>
          <w:szCs w:val="20"/>
          <w:shd w:val="clear" w:color="auto" w:fill="FFFFFF"/>
        </w:rPr>
        <w:t>.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>).</w:t>
      </w:r>
    </w:p>
    <w:p w14:paraId="50888296" w14:textId="77777777" w:rsidR="00A623FA" w:rsidRPr="00987394" w:rsidRDefault="00A623FA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7829C6D7" w14:textId="1229A3B3" w:rsidR="00B6042F" w:rsidRPr="00987394" w:rsidRDefault="00574790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>Harvard has</w:t>
      </w:r>
      <w:r w:rsidR="00B05F19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035147" w:rsidRPr="00987394">
        <w:rPr>
          <w:rFonts w:ascii="Verdana" w:hAnsi="Verdana" w:cs="Times New Roman"/>
          <w:sz w:val="20"/>
          <w:szCs w:val="20"/>
          <w:shd w:val="clear" w:color="auto" w:fill="FFFFFF"/>
        </w:rPr>
        <w:t>remained a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8021F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curricular 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>touchstone</w:t>
      </w:r>
      <w:r w:rsidR="00942087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, from its </w:t>
      </w:r>
      <w:r w:rsidR="00B6115C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founding </w:t>
      </w:r>
      <w:r w:rsidR="00DD27E1" w:rsidRPr="00987394">
        <w:rPr>
          <w:rFonts w:ascii="Verdana" w:hAnsi="Verdana" w:cs="Times New Roman"/>
          <w:sz w:val="20"/>
          <w:szCs w:val="20"/>
          <w:shd w:val="clear" w:color="auto" w:fill="FFFFFF"/>
        </w:rPr>
        <w:t>classic</w:t>
      </w:r>
      <w:r w:rsidR="006E2E0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0D5AA8" w:rsidRPr="00987394">
        <w:rPr>
          <w:rFonts w:ascii="Verdana" w:hAnsi="Verdana" w:cs="Times New Roman"/>
          <w:sz w:val="20"/>
          <w:szCs w:val="20"/>
          <w:shd w:val="clear" w:color="auto" w:fill="FFFFFF"/>
        </w:rPr>
        <w:t>core</w:t>
      </w:r>
      <w:r w:rsidR="006E2E0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to </w:t>
      </w:r>
      <w:r w:rsidR="00DD27E1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its introduction of the </w:t>
      </w:r>
      <w:r w:rsidR="006E2E02" w:rsidRPr="00510B95">
        <w:rPr>
          <w:rFonts w:ascii="Verdana" w:hAnsi="Verdana" w:cs="Times New Roman"/>
          <w:sz w:val="20"/>
          <w:szCs w:val="20"/>
          <w:shd w:val="clear" w:color="auto" w:fill="FFFFFF"/>
        </w:rPr>
        <w:t>elective system</w:t>
      </w:r>
      <w:r w:rsidR="006E2E0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3F5919" w:rsidRPr="00987394">
        <w:rPr>
          <w:rFonts w:ascii="Verdana" w:hAnsi="Verdana" w:cs="Times New Roman"/>
          <w:sz w:val="20"/>
          <w:szCs w:val="20"/>
          <w:shd w:val="clear" w:color="auto" w:fill="FFFFFF"/>
        </w:rPr>
        <w:t>that led to having only one r</w:t>
      </w:r>
      <w:r w:rsidR="00942087" w:rsidRPr="00987394">
        <w:rPr>
          <w:rFonts w:ascii="Verdana" w:hAnsi="Verdana" w:cs="Times New Roman"/>
          <w:sz w:val="20"/>
          <w:szCs w:val="20"/>
          <w:shd w:val="clear" w:color="auto" w:fill="FFFFFF"/>
        </w:rPr>
        <w:t>equired course—English composition</w:t>
      </w:r>
      <w:r w:rsidR="00EF6505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(Mintz, 2020</w:t>
      </w:r>
      <w:r w:rsidR="0090210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). </w:t>
      </w:r>
      <w:r w:rsidR="008F5496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Early </w:t>
      </w:r>
      <w:r w:rsidR="00754E46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reform </w:t>
      </w:r>
      <w:r w:rsidR="00B821B8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of </w:t>
      </w:r>
      <w:r w:rsidR="00A816B6" w:rsidRPr="00987394">
        <w:rPr>
          <w:rFonts w:ascii="Verdana" w:hAnsi="Verdana" w:cs="Times New Roman"/>
          <w:sz w:val="20"/>
          <w:szCs w:val="20"/>
          <w:shd w:val="clear" w:color="auto" w:fill="FFFFFF"/>
        </w:rPr>
        <w:t>Harvard’s</w:t>
      </w:r>
      <w:r w:rsidR="00B821B8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core curriculum</w:t>
      </w:r>
      <w:r w:rsidR="0090210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8077C5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was led by </w:t>
      </w:r>
      <w:r w:rsidR="008F5496" w:rsidRPr="00987394">
        <w:rPr>
          <w:rFonts w:ascii="Verdana" w:hAnsi="Verdana" w:cs="Times New Roman"/>
          <w:sz w:val="20"/>
          <w:szCs w:val="20"/>
          <w:shd w:val="clear" w:color="auto" w:fill="FFFFFF"/>
        </w:rPr>
        <w:t>40-year</w:t>
      </w:r>
      <w:r w:rsidR="00025864">
        <w:rPr>
          <w:rFonts w:ascii="Verdana" w:hAnsi="Verdana" w:cs="Times New Roman"/>
          <w:sz w:val="20"/>
          <w:szCs w:val="20"/>
          <w:shd w:val="clear" w:color="auto" w:fill="FFFFFF"/>
        </w:rPr>
        <w:t>-</w:t>
      </w:r>
      <w:r w:rsidR="00902102" w:rsidRPr="00987394">
        <w:rPr>
          <w:rFonts w:ascii="Verdana" w:hAnsi="Verdana" w:cs="Times New Roman"/>
          <w:sz w:val="20"/>
          <w:szCs w:val="20"/>
          <w:shd w:val="clear" w:color="auto" w:fill="FFFFFF"/>
        </w:rPr>
        <w:t>old</w:t>
      </w:r>
      <w:r w:rsidR="008F5496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President </w:t>
      </w:r>
      <w:r w:rsidR="008077C5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Charles Eliot who </w:t>
      </w:r>
      <w:r w:rsidR="002247A3" w:rsidRPr="00987394">
        <w:rPr>
          <w:rFonts w:ascii="Verdana" w:hAnsi="Verdana" w:cs="Times New Roman"/>
          <w:sz w:val="20"/>
          <w:szCs w:val="20"/>
          <w:shd w:val="clear" w:color="auto" w:fill="FFFFFF"/>
        </w:rPr>
        <w:t>championed</w:t>
      </w:r>
      <w:r w:rsidR="001A369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a</w:t>
      </w:r>
      <w:r w:rsidR="00BF7E8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radical, utilitarian “n</w:t>
      </w:r>
      <w:r w:rsidR="00353076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ew </w:t>
      </w:r>
      <w:r w:rsidR="00BF7E80" w:rsidRPr="00987394">
        <w:rPr>
          <w:rFonts w:ascii="Verdana" w:hAnsi="Verdana" w:cs="Times New Roman"/>
          <w:sz w:val="20"/>
          <w:szCs w:val="20"/>
          <w:shd w:val="clear" w:color="auto" w:fill="FFFFFF"/>
        </w:rPr>
        <w:t>e</w:t>
      </w:r>
      <w:r w:rsidR="00353076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ducation” </w:t>
      </w:r>
      <w:r w:rsidR="008F5496" w:rsidRPr="00987394">
        <w:rPr>
          <w:rFonts w:ascii="Verdana" w:hAnsi="Verdana" w:cs="Times New Roman"/>
          <w:sz w:val="20"/>
          <w:szCs w:val="20"/>
          <w:shd w:val="clear" w:color="auto" w:fill="FFFFFF"/>
        </w:rPr>
        <w:t>beginning in 1869</w:t>
      </w:r>
      <w:r w:rsidR="00720731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3F5919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that </w:t>
      </w:r>
      <w:r w:rsidR="0051750D" w:rsidRPr="00987394">
        <w:rPr>
          <w:rFonts w:ascii="Verdana" w:hAnsi="Verdana" w:cs="Times New Roman"/>
          <w:sz w:val="20"/>
          <w:szCs w:val="20"/>
          <w:shd w:val="clear" w:color="auto" w:fill="FFFFFF"/>
        </w:rPr>
        <w:t>eliminated</w:t>
      </w:r>
      <w:r w:rsidR="003F5919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course requirements, e</w:t>
      </w:r>
      <w:r w:rsidR="006811A9" w:rsidRPr="00987394">
        <w:rPr>
          <w:rFonts w:ascii="Verdana" w:hAnsi="Verdana" w:cs="Times New Roman"/>
          <w:sz w:val="20"/>
          <w:szCs w:val="20"/>
          <w:shd w:val="clear" w:color="auto" w:fill="FFFFFF"/>
        </w:rPr>
        <w:t>xpand</w:t>
      </w:r>
      <w:r w:rsidR="002461FF" w:rsidRPr="00987394">
        <w:rPr>
          <w:rFonts w:ascii="Verdana" w:hAnsi="Verdana" w:cs="Times New Roman"/>
          <w:sz w:val="20"/>
          <w:szCs w:val="20"/>
          <w:shd w:val="clear" w:color="auto" w:fill="FFFFFF"/>
        </w:rPr>
        <w:t>ed</w:t>
      </w:r>
      <w:r w:rsidR="0042110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applied</w:t>
      </w:r>
      <w:r w:rsidR="00631B1B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science</w:t>
      </w:r>
      <w:r w:rsidR="0042110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s </w:t>
      </w:r>
      <w:r w:rsidR="00631B1B" w:rsidRPr="00987394">
        <w:rPr>
          <w:rFonts w:ascii="Verdana" w:hAnsi="Verdana" w:cs="Times New Roman"/>
          <w:sz w:val="20"/>
          <w:szCs w:val="20"/>
          <w:shd w:val="clear" w:color="auto" w:fill="FFFFFF"/>
        </w:rPr>
        <w:t>and humanities</w:t>
      </w:r>
      <w:r w:rsidR="003F5919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="008C7E5A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and </w:t>
      </w:r>
      <w:r w:rsidR="00CA5F97" w:rsidRPr="00987394">
        <w:rPr>
          <w:rFonts w:ascii="Verdana" w:hAnsi="Verdana" w:cs="Times New Roman"/>
          <w:sz w:val="20"/>
          <w:szCs w:val="20"/>
          <w:shd w:val="clear" w:color="auto" w:fill="FFFFFF"/>
        </w:rPr>
        <w:lastRenderedPageBreak/>
        <w:t>downplay</w:t>
      </w:r>
      <w:r w:rsidR="002461FF" w:rsidRPr="00987394">
        <w:rPr>
          <w:rFonts w:ascii="Verdana" w:hAnsi="Verdana" w:cs="Times New Roman"/>
          <w:sz w:val="20"/>
          <w:szCs w:val="20"/>
          <w:shd w:val="clear" w:color="auto" w:fill="FFFFFF"/>
        </w:rPr>
        <w:t>ed</w:t>
      </w:r>
      <w:r w:rsidR="00CA5F97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CA5F97" w:rsidRPr="00510B95">
        <w:rPr>
          <w:rFonts w:ascii="Verdana" w:hAnsi="Verdana" w:cs="Times New Roman"/>
          <w:sz w:val="20"/>
          <w:szCs w:val="20"/>
          <w:shd w:val="clear" w:color="auto" w:fill="FFFFFF"/>
        </w:rPr>
        <w:t>dead</w:t>
      </w:r>
      <w:r w:rsidR="00CA5F97" w:rsidRPr="00343B10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CA5F97" w:rsidRPr="00510B95">
        <w:rPr>
          <w:rFonts w:ascii="Verdana" w:hAnsi="Verdana" w:cs="Times New Roman"/>
          <w:sz w:val="20"/>
          <w:szCs w:val="20"/>
          <w:shd w:val="clear" w:color="auto" w:fill="FFFFFF"/>
        </w:rPr>
        <w:t>languages</w:t>
      </w:r>
      <w:r w:rsidR="008121AA" w:rsidRPr="00987394">
        <w:rPr>
          <w:rFonts w:ascii="Verdana" w:hAnsi="Verdana" w:cs="Times New Roman"/>
          <w:sz w:val="20"/>
          <w:szCs w:val="20"/>
          <w:shd w:val="clear" w:color="auto" w:fill="FFFFFF"/>
        </w:rPr>
        <w:t>—</w:t>
      </w:r>
      <w:r w:rsidR="00BF7E80" w:rsidRPr="00987394">
        <w:rPr>
          <w:rFonts w:ascii="Verdana" w:hAnsi="Verdana" w:cs="Times New Roman"/>
          <w:sz w:val="20"/>
          <w:szCs w:val="20"/>
          <w:shd w:val="clear" w:color="auto" w:fill="FFFFFF"/>
        </w:rPr>
        <w:t>all with a dogged eye toward preparing young men (for</w:t>
      </w:r>
      <w:r w:rsidR="002D083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they were </w:t>
      </w:r>
      <w:r w:rsidR="000C6861" w:rsidRPr="00987394">
        <w:rPr>
          <w:rFonts w:ascii="Verdana" w:hAnsi="Verdana" w:cs="Times New Roman"/>
          <w:sz w:val="20"/>
          <w:szCs w:val="20"/>
          <w:shd w:val="clear" w:color="auto" w:fill="FFFFFF"/>
        </w:rPr>
        <w:t>all</w:t>
      </w:r>
      <w:r w:rsidR="002D083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men</w:t>
      </w:r>
      <w:r w:rsidR="008C7E5A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at that time</w:t>
      </w:r>
      <w:r w:rsidR="002D0830" w:rsidRPr="00987394">
        <w:rPr>
          <w:rFonts w:ascii="Verdana" w:hAnsi="Verdana" w:cs="Times New Roman"/>
          <w:sz w:val="20"/>
          <w:szCs w:val="20"/>
          <w:shd w:val="clear" w:color="auto" w:fill="FFFFFF"/>
        </w:rPr>
        <w:t>) t</w:t>
      </w:r>
      <w:r w:rsidR="0042110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o meet the </w:t>
      </w:r>
      <w:r w:rsidR="00CA5F97" w:rsidRPr="00987394">
        <w:rPr>
          <w:rFonts w:ascii="Verdana" w:hAnsi="Verdana" w:cs="Times New Roman"/>
          <w:sz w:val="20"/>
          <w:szCs w:val="20"/>
          <w:shd w:val="clear" w:color="auto" w:fill="FFFFFF"/>
        </w:rPr>
        <w:t>needs of a changing democratic society (</w:t>
      </w:r>
      <w:r w:rsidR="008E665C" w:rsidRPr="00987394">
        <w:rPr>
          <w:rFonts w:ascii="Verdana" w:hAnsi="Verdana" w:cs="Times New Roman"/>
          <w:sz w:val="20"/>
          <w:szCs w:val="20"/>
          <w:shd w:val="clear" w:color="auto" w:fill="FFFFFF"/>
        </w:rPr>
        <w:t>Ali, 2019</w:t>
      </w:r>
      <w:r w:rsidR="00CA5F97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). </w:t>
      </w:r>
    </w:p>
    <w:p w14:paraId="0C775334" w14:textId="77777777" w:rsidR="00A623FA" w:rsidRPr="00987394" w:rsidRDefault="00A623FA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19F1DE2F" w14:textId="56E15C28" w:rsidR="00864001" w:rsidRPr="001762E4" w:rsidRDefault="00933253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</w:pP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>By</w:t>
      </w:r>
      <w:r w:rsidR="005B3C81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the middle of the 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>20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  <w:vertAlign w:val="superscript"/>
        </w:rPr>
        <w:t>th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century, 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>Harvard’s</w:t>
      </w:r>
      <w:r w:rsidR="005B3C81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864001" w:rsidRPr="00987394">
        <w:rPr>
          <w:rFonts w:ascii="Verdana" w:hAnsi="Verdana" w:cs="Times New Roman"/>
          <w:sz w:val="20"/>
          <w:szCs w:val="20"/>
          <w:shd w:val="clear" w:color="auto" w:fill="FFFFFF"/>
        </w:rPr>
        <w:t>President</w:t>
      </w:r>
      <w:r w:rsidR="005B3C81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James Conant </w:t>
      </w:r>
      <w:r w:rsidR="00F53561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led </w:t>
      </w:r>
      <w:r w:rsidR="001A3690" w:rsidRPr="00987394">
        <w:rPr>
          <w:rFonts w:ascii="Verdana" w:hAnsi="Verdana" w:cs="Times New Roman"/>
          <w:sz w:val="20"/>
          <w:szCs w:val="20"/>
          <w:shd w:val="clear" w:color="auto" w:fill="FFFFFF"/>
        </w:rPr>
        <w:t>a</w:t>
      </w:r>
      <w:r w:rsidR="00642BD6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n 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>egalitarian</w:t>
      </w:r>
      <w:r w:rsidR="00D93A0D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>ref</w:t>
      </w:r>
      <w:r w:rsidR="00B821B8" w:rsidRPr="00987394">
        <w:rPr>
          <w:rFonts w:ascii="Verdana" w:hAnsi="Verdana" w:cs="Times New Roman"/>
          <w:sz w:val="20"/>
          <w:szCs w:val="20"/>
          <w:shd w:val="clear" w:color="auto" w:fill="FFFFFF"/>
        </w:rPr>
        <w:t>orm to attract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students based on talent rather than wealth and entitlement. </w:t>
      </w:r>
      <w:r w:rsidR="00D17EC5" w:rsidRPr="00987394">
        <w:rPr>
          <w:rFonts w:ascii="Verdana" w:hAnsi="Verdana" w:cs="Times New Roman"/>
          <w:sz w:val="20"/>
          <w:szCs w:val="20"/>
          <w:shd w:val="clear" w:color="auto" w:fill="FFFFFF"/>
        </w:rPr>
        <w:t>He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commissioned a dozen faculty </w:t>
      </w:r>
      <w:r w:rsidR="00D17EC5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who worked two years </w:t>
      </w:r>
      <w:r w:rsidR="00881203" w:rsidRPr="00987394">
        <w:rPr>
          <w:rFonts w:ascii="Verdana" w:hAnsi="Verdana" w:cs="Times New Roman"/>
          <w:sz w:val="20"/>
          <w:szCs w:val="20"/>
          <w:shd w:val="clear" w:color="auto" w:fill="FFFFFF"/>
        </w:rPr>
        <w:t>to define a core, universal education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754E46" w:rsidRPr="00987394">
        <w:rPr>
          <w:rFonts w:ascii="Verdana" w:hAnsi="Verdana" w:cs="Times New Roman"/>
          <w:sz w:val="20"/>
          <w:szCs w:val="20"/>
          <w:shd w:val="clear" w:color="auto" w:fill="FFFFFF"/>
        </w:rPr>
        <w:t>for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754E46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schools 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and </w:t>
      </w:r>
      <w:r w:rsidR="00754E46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colleges aimed at opening 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pathways to higher learning and 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>advanc</w:t>
      </w:r>
      <w:r w:rsidR="00754E46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ing 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>American democracy</w:t>
      </w:r>
      <w:r w:rsidR="00D17EC5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. </w:t>
      </w:r>
      <w:r w:rsidR="00574790"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>General Education in a Free Society: Report of the Harvard Committee</w:t>
      </w:r>
      <w:r w:rsidR="00D17EC5"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>,</w:t>
      </w:r>
      <w:r w:rsidR="00D17EC5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k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nown as </w:t>
      </w:r>
      <w:r w:rsidR="00574790"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 xml:space="preserve">The Harvard Report of 1945, </w:t>
      </w:r>
      <w:r w:rsidR="00D17EC5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has 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been </w:t>
      </w:r>
      <w:r w:rsidR="008121AA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reprinted over a dozen times in the last 75 years and 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>characterized as “one of the most important documents in the history of American education in the 20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  <w:vertAlign w:val="superscript"/>
        </w:rPr>
        <w:t>th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century” (Kravitz, 1994, p. 1). It is </w:t>
      </w:r>
      <w:r w:rsidR="008121AA" w:rsidRPr="00987394">
        <w:rPr>
          <w:rFonts w:ascii="Verdana" w:hAnsi="Verdana" w:cs="Times New Roman"/>
          <w:sz w:val="20"/>
          <w:szCs w:val="20"/>
          <w:shd w:val="clear" w:color="auto" w:fill="FFFFFF"/>
        </w:rPr>
        <w:t>elegantly written and an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essential read for anyone interested in general education because it reviews the overarching questions about democracy and the role of education in promoting </w:t>
      </w:r>
      <w:r w:rsidR="004B6C53">
        <w:rPr>
          <w:rFonts w:ascii="Verdana" w:hAnsi="Verdana" w:cs="Times New Roman"/>
          <w:sz w:val="20"/>
          <w:szCs w:val="20"/>
          <w:shd w:val="clear" w:color="auto" w:fill="FFFFFF"/>
        </w:rPr>
        <w:t>an informed citizenry</w:t>
      </w:r>
      <w:r w:rsidR="00343B10">
        <w:rPr>
          <w:rFonts w:ascii="Verdana" w:hAnsi="Verdana" w:cs="Times New Roman"/>
          <w:sz w:val="20"/>
          <w:szCs w:val="20"/>
          <w:shd w:val="clear" w:color="auto" w:fill="FFFFFF"/>
        </w:rPr>
        <w:t xml:space="preserve">. </w:t>
      </w:r>
      <w:r w:rsidR="00E1515F" w:rsidRPr="00987394">
        <w:rPr>
          <w:rFonts w:ascii="Verdana" w:hAnsi="Verdana" w:cs="Times New Roman"/>
          <w:sz w:val="20"/>
          <w:szCs w:val="20"/>
          <w:shd w:val="clear" w:color="auto" w:fill="FFFFFF"/>
        </w:rPr>
        <w:t>Responding to the lessons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of World War I</w:t>
      </w:r>
      <w:r w:rsidR="00E1515F" w:rsidRPr="00987394">
        <w:rPr>
          <w:rFonts w:ascii="Verdana" w:hAnsi="Verdana" w:cs="Times New Roman"/>
          <w:sz w:val="20"/>
          <w:szCs w:val="20"/>
          <w:shd w:val="clear" w:color="auto" w:fill="FFFFFF"/>
        </w:rPr>
        <w:t>I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="0042721F" w:rsidRPr="00987394">
        <w:rPr>
          <w:rFonts w:ascii="Verdana" w:hAnsi="Verdana" w:cs="Times New Roman"/>
          <w:sz w:val="20"/>
          <w:szCs w:val="20"/>
          <w:shd w:val="clear" w:color="auto" w:fill="FFFFFF"/>
        </w:rPr>
        <w:t>the Harvard Committee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B339C7" w:rsidRPr="00987394">
        <w:rPr>
          <w:rFonts w:ascii="Verdana" w:hAnsi="Verdana" w:cs="Times New Roman"/>
          <w:sz w:val="20"/>
          <w:szCs w:val="20"/>
          <w:shd w:val="clear" w:color="auto" w:fill="FFFFFF"/>
        </w:rPr>
        <w:t>contended</w:t>
      </w:r>
      <w:r w:rsidR="006C05FC" w:rsidRPr="00987394">
        <w:rPr>
          <w:rFonts w:ascii="Verdana" w:hAnsi="Verdana" w:cs="Times New Roman"/>
          <w:sz w:val="20"/>
          <w:szCs w:val="20"/>
          <w:shd w:val="clear" w:color="auto" w:fill="FFFFFF"/>
        </w:rPr>
        <w:t>,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“</w:t>
      </w:r>
      <w:r w:rsidR="00B821B8" w:rsidRPr="00987394">
        <w:rPr>
          <w:rFonts w:ascii="Verdana" w:hAnsi="Verdana" w:cs="Times New Roman"/>
          <w:sz w:val="20"/>
          <w:szCs w:val="20"/>
          <w:shd w:val="clear" w:color="auto" w:fill="FFFFFF"/>
        </w:rPr>
        <w:t>G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>eneral education is the sole means by which communities can protect themselves from the ill effects of over</w:t>
      </w:r>
      <w:r w:rsidR="001E5AB6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>rapid change” (p.</w:t>
      </w:r>
      <w:r w:rsidR="00F91B23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574790" w:rsidRPr="00987394">
        <w:rPr>
          <w:rFonts w:ascii="Verdana" w:hAnsi="Verdana" w:cs="Times New Roman"/>
          <w:sz w:val="20"/>
          <w:szCs w:val="20"/>
          <w:shd w:val="clear" w:color="auto" w:fill="FFFFFF"/>
        </w:rPr>
        <w:t>266).</w:t>
      </w:r>
      <w:r w:rsidR="000B24D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bookmarkStart w:id="0" w:name="_Hlk67591828"/>
      <w:r w:rsidR="00F04C0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The </w:t>
      </w:r>
      <w:r w:rsidR="00A026C2"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>Harvard Report of 1945</w:t>
      </w:r>
      <w:r w:rsidR="00F04C0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called for three divisions of learning</w:t>
      </w:r>
      <w:r w:rsidR="001762E4">
        <w:rPr>
          <w:rFonts w:ascii="Verdana" w:hAnsi="Verdana" w:cs="Times New Roman"/>
          <w:sz w:val="20"/>
          <w:szCs w:val="20"/>
          <w:shd w:val="clear" w:color="auto" w:fill="FFFFFF"/>
        </w:rPr>
        <w:t>—</w:t>
      </w:r>
      <w:r w:rsidR="00F04C00" w:rsidRPr="00510B95">
        <w:rPr>
          <w:rFonts w:ascii="Verdana" w:hAnsi="Verdana" w:cs="Times New Roman"/>
          <w:sz w:val="20"/>
          <w:szCs w:val="20"/>
          <w:shd w:val="clear" w:color="auto" w:fill="FFFFFF"/>
        </w:rPr>
        <w:t>humanities,</w:t>
      </w:r>
      <w:r w:rsidR="00F04C00"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 xml:space="preserve"> </w:t>
      </w:r>
      <w:r w:rsidR="00F04C00" w:rsidRPr="00510B95">
        <w:rPr>
          <w:rFonts w:ascii="Verdana" w:hAnsi="Verdana" w:cs="Times New Roman"/>
          <w:sz w:val="20"/>
          <w:szCs w:val="20"/>
          <w:shd w:val="clear" w:color="auto" w:fill="FFFFFF"/>
        </w:rPr>
        <w:t>social sciences,</w:t>
      </w:r>
      <w:r w:rsidR="00F04C00"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 xml:space="preserve"> </w:t>
      </w:r>
      <w:r w:rsidR="00F04C00" w:rsidRPr="00987394">
        <w:rPr>
          <w:rFonts w:ascii="Verdana" w:hAnsi="Verdana" w:cs="Times New Roman"/>
          <w:sz w:val="20"/>
          <w:szCs w:val="20"/>
          <w:shd w:val="clear" w:color="auto" w:fill="FFFFFF"/>
        </w:rPr>
        <w:t>and</w:t>
      </w:r>
      <w:r w:rsidR="00F04C00"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 xml:space="preserve"> </w:t>
      </w:r>
      <w:r w:rsidR="00F04C00" w:rsidRPr="00510B95">
        <w:rPr>
          <w:rFonts w:ascii="Verdana" w:hAnsi="Verdana" w:cs="Times New Roman"/>
          <w:sz w:val="20"/>
          <w:szCs w:val="20"/>
          <w:shd w:val="clear" w:color="auto" w:fill="FFFFFF"/>
        </w:rPr>
        <w:t>natural science</w:t>
      </w:r>
      <w:r w:rsidR="00F91B23" w:rsidRPr="00510B95">
        <w:rPr>
          <w:rFonts w:ascii="Verdana" w:hAnsi="Verdana" w:cs="Times New Roman"/>
          <w:sz w:val="20"/>
          <w:szCs w:val="20"/>
          <w:shd w:val="clear" w:color="auto" w:fill="FFFFFF"/>
        </w:rPr>
        <w:t>s</w:t>
      </w:r>
      <w:r w:rsidR="001762E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>—</w:t>
      </w:r>
      <w:r w:rsidR="00F91B23" w:rsidRPr="00987394">
        <w:rPr>
          <w:rFonts w:ascii="Verdana" w:hAnsi="Verdana" w:cs="Times New Roman"/>
          <w:sz w:val="20"/>
          <w:szCs w:val="20"/>
          <w:shd w:val="clear" w:color="auto" w:fill="FFFFFF"/>
        </w:rPr>
        <w:t>forming</w:t>
      </w:r>
      <w:r w:rsidR="00F91B23"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 xml:space="preserve"> </w:t>
      </w:r>
      <w:r w:rsidR="00E44CA7" w:rsidRPr="00987394">
        <w:rPr>
          <w:rFonts w:ascii="Verdana" w:hAnsi="Verdana" w:cs="Times New Roman"/>
          <w:sz w:val="20"/>
          <w:szCs w:val="20"/>
          <w:shd w:val="clear" w:color="auto" w:fill="FFFFFF"/>
        </w:rPr>
        <w:t>the cornerstone of the Harvard College curriculum</w:t>
      </w:r>
      <w:r w:rsidR="009E52C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and setting a benchmark for higher education</w:t>
      </w:r>
      <w:r w:rsidR="00DA15DF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for decades</w:t>
      </w:r>
      <w:r w:rsidR="00F04C00" w:rsidRPr="00987394">
        <w:rPr>
          <w:rFonts w:ascii="Verdana" w:hAnsi="Verdana" w:cs="Times New Roman"/>
          <w:sz w:val="20"/>
          <w:szCs w:val="20"/>
          <w:shd w:val="clear" w:color="auto" w:fill="FFFFFF"/>
        </w:rPr>
        <w:t>.</w:t>
      </w:r>
      <w:r w:rsidR="002C2A58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</w:p>
    <w:p w14:paraId="4D15035A" w14:textId="77777777" w:rsidR="00A623FA" w:rsidRPr="00987394" w:rsidRDefault="00A623FA" w:rsidP="00A623FA">
      <w:pPr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14971F81" w14:textId="3BA772EF" w:rsidR="000D7A22" w:rsidRPr="00987394" w:rsidRDefault="00B30C75" w:rsidP="00A623FA">
      <w:pPr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sz w:val="20"/>
          <w:szCs w:val="20"/>
          <w:shd w:val="clear" w:color="auto" w:fill="FFFFFF"/>
        </w:rPr>
        <w:t>Years</w:t>
      </w:r>
      <w:r w:rsidR="004F6F97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later, the</w:t>
      </w:r>
      <w:r w:rsidR="00F04C0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D5087B" w:rsidRPr="00987394">
        <w:rPr>
          <w:rFonts w:ascii="Verdana" w:hAnsi="Verdana" w:cs="Times New Roman"/>
          <w:sz w:val="20"/>
          <w:szCs w:val="20"/>
          <w:shd w:val="clear" w:color="auto" w:fill="FFFFFF"/>
        </w:rPr>
        <w:t>Association of American Colleges (AAC)</w:t>
      </w:r>
      <w:r w:rsidR="00A35D47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="00D5087B">
        <w:rPr>
          <w:rFonts w:ascii="Verdana" w:hAnsi="Verdana" w:cs="Times New Roman"/>
          <w:sz w:val="20"/>
          <w:szCs w:val="20"/>
          <w:shd w:val="clear" w:color="auto" w:fill="FFFFFF"/>
        </w:rPr>
        <w:t xml:space="preserve">now the </w:t>
      </w:r>
      <w:r w:rsidR="00BD3804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American </w:t>
      </w:r>
      <w:r w:rsidR="00AD7B0B">
        <w:rPr>
          <w:rFonts w:ascii="Verdana" w:hAnsi="Verdana" w:cs="Times New Roman"/>
          <w:sz w:val="20"/>
          <w:szCs w:val="20"/>
          <w:shd w:val="clear" w:color="auto" w:fill="FFFFFF"/>
        </w:rPr>
        <w:t xml:space="preserve">Association of </w:t>
      </w:r>
      <w:r w:rsidR="00F04C00" w:rsidRPr="00987394">
        <w:rPr>
          <w:rFonts w:ascii="Verdana" w:hAnsi="Verdana" w:cs="Times New Roman"/>
          <w:sz w:val="20"/>
          <w:szCs w:val="20"/>
          <w:shd w:val="clear" w:color="auto" w:fill="FFFFFF"/>
        </w:rPr>
        <w:t>Colleges and Universities (AAC&amp;U)</w:t>
      </w:r>
      <w:r w:rsidR="00A35D47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="002C500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led </w:t>
      </w:r>
      <w:r w:rsidR="00BF0264" w:rsidRPr="00987394">
        <w:rPr>
          <w:rFonts w:ascii="Verdana" w:hAnsi="Verdana" w:cs="Times New Roman"/>
          <w:sz w:val="20"/>
          <w:szCs w:val="20"/>
          <w:shd w:val="clear" w:color="auto" w:fill="FFFFFF"/>
        </w:rPr>
        <w:t>a new</w:t>
      </w:r>
      <w:r w:rsidR="002C500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national </w:t>
      </w:r>
      <w:r w:rsidR="00A026C2" w:rsidRPr="00987394">
        <w:rPr>
          <w:rFonts w:ascii="Verdana" w:hAnsi="Verdana" w:cs="Times New Roman"/>
          <w:sz w:val="20"/>
          <w:szCs w:val="20"/>
          <w:shd w:val="clear" w:color="auto" w:fill="FFFFFF"/>
        </w:rPr>
        <w:t>discussion about the essential higher education core</w:t>
      </w:r>
      <w:r w:rsidR="00F04C0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. </w:t>
      </w:r>
      <w:r w:rsidR="006E2ADB" w:rsidRPr="00987394">
        <w:rPr>
          <w:rFonts w:ascii="Verdana" w:hAnsi="Verdana" w:cs="Times New Roman"/>
          <w:sz w:val="20"/>
          <w:szCs w:val="20"/>
          <w:shd w:val="clear" w:color="auto" w:fill="FFFFFF"/>
        </w:rPr>
        <w:t>Th</w:t>
      </w:r>
      <w:r w:rsidR="00362D43" w:rsidRPr="00987394">
        <w:rPr>
          <w:rFonts w:ascii="Verdana" w:hAnsi="Verdana" w:cs="Times New Roman"/>
          <w:sz w:val="20"/>
          <w:szCs w:val="20"/>
          <w:shd w:val="clear" w:color="auto" w:fill="FFFFFF"/>
        </w:rPr>
        <w:t>eir</w:t>
      </w:r>
      <w:r w:rsidR="000D7A2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1985 landmark report</w:t>
      </w:r>
      <w:r w:rsidR="00AD7B0B">
        <w:rPr>
          <w:rFonts w:ascii="Verdana" w:hAnsi="Verdana" w:cs="Times New Roman"/>
          <w:sz w:val="20"/>
          <w:szCs w:val="20"/>
          <w:shd w:val="clear" w:color="auto" w:fill="FFFFFF"/>
        </w:rPr>
        <w:t>,</w:t>
      </w:r>
      <w:r w:rsidR="000D7A2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0D7A22"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>Integrity in the College Curriculum</w:t>
      </w:r>
      <w:r w:rsidR="00AD7B0B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>,</w:t>
      </w:r>
      <w:r w:rsidR="006C23CC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7B78B8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declared </w:t>
      </w:r>
      <w:r w:rsidR="00016D57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the curriculum </w:t>
      </w:r>
      <w:r w:rsidR="007B78B8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to be </w:t>
      </w:r>
      <w:r w:rsidR="00016D57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adrift: </w:t>
      </w:r>
    </w:p>
    <w:p w14:paraId="2312E819" w14:textId="77777777" w:rsidR="00A623FA" w:rsidRPr="00987394" w:rsidRDefault="00A623FA" w:rsidP="00A623FA">
      <w:pPr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04A046C6" w14:textId="25F5E8EE" w:rsidR="000D7A22" w:rsidRPr="00987394" w:rsidRDefault="000D7A22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right="720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>As for what passes as a college curriculum almost anything goes. We have reached a point at which we are more confident about the length of a college education than its content and purpose. . . . The curriculum has given way to a marketplace philosophy: it is a supermarket where students are shoppers and professors are merchants of learning</w:t>
      </w:r>
      <w:r w:rsidR="006C23CC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. 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>(p.</w:t>
      </w:r>
      <w:r w:rsidR="00CE7B3B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>2)</w:t>
      </w:r>
    </w:p>
    <w:bookmarkEnd w:id="0"/>
    <w:p w14:paraId="7A6C777E" w14:textId="77777777" w:rsidR="00A623FA" w:rsidRPr="00987394" w:rsidRDefault="00A623FA" w:rsidP="00A623FA">
      <w:pPr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69852865" w14:textId="5712A0AB" w:rsidR="004869F7" w:rsidRPr="00987394" w:rsidRDefault="002C5000" w:rsidP="00A623FA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To </w:t>
      </w:r>
      <w:r w:rsidR="004869F7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counter the 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dominant </w:t>
      </w:r>
      <w:r w:rsidR="004869F7" w:rsidRPr="00987394">
        <w:rPr>
          <w:rFonts w:ascii="Verdana" w:hAnsi="Verdana" w:cs="Times New Roman"/>
          <w:sz w:val="20"/>
          <w:szCs w:val="20"/>
          <w:shd w:val="clear" w:color="auto" w:fill="FFFFFF"/>
        </w:rPr>
        <w:t>anything</w:t>
      </w:r>
      <w:r w:rsidR="00AD7B0B">
        <w:rPr>
          <w:rFonts w:ascii="Verdana" w:hAnsi="Verdana" w:cs="Times New Roman"/>
          <w:sz w:val="20"/>
          <w:szCs w:val="20"/>
          <w:shd w:val="clear" w:color="auto" w:fill="FFFFFF"/>
        </w:rPr>
        <w:t>-</w:t>
      </w:r>
      <w:r w:rsidR="004869F7" w:rsidRPr="00987394">
        <w:rPr>
          <w:rFonts w:ascii="Verdana" w:hAnsi="Verdana" w:cs="Times New Roman"/>
          <w:sz w:val="20"/>
          <w:szCs w:val="20"/>
          <w:shd w:val="clear" w:color="auto" w:fill="FFFFFF"/>
        </w:rPr>
        <w:t>goes curricular approach</w:t>
      </w:r>
      <w:r w:rsidR="00930FA6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="00362D43" w:rsidRPr="00987394">
        <w:rPr>
          <w:rFonts w:ascii="Verdana" w:hAnsi="Verdana" w:cs="Times New Roman"/>
          <w:sz w:val="20"/>
          <w:szCs w:val="20"/>
          <w:shd w:val="clear" w:color="auto" w:fill="FFFFFF"/>
        </w:rPr>
        <w:t>AAC</w:t>
      </w:r>
      <w:r w:rsidR="004869F7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recommended nine key components to 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>frame</w:t>
      </w:r>
      <w:r w:rsidR="004869F7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an integrated whole curriculum: </w:t>
      </w:r>
      <w:r w:rsidR="004869F7" w:rsidRPr="00987394">
        <w:rPr>
          <w:rFonts w:ascii="Verdana" w:hAnsi="Verdana" w:cs="Times New Roman"/>
          <w:sz w:val="20"/>
          <w:szCs w:val="20"/>
        </w:rPr>
        <w:t xml:space="preserve">(1) </w:t>
      </w:r>
      <w:r w:rsidR="004869F7" w:rsidRPr="00BD25F3">
        <w:rPr>
          <w:rFonts w:ascii="Verdana" w:hAnsi="Verdana" w:cs="Times New Roman"/>
          <w:sz w:val="20"/>
          <w:szCs w:val="20"/>
        </w:rPr>
        <w:t>inquiry, abstract logical thinking, and critical analysis</w:t>
      </w:r>
      <w:r w:rsidR="004869F7" w:rsidRPr="00933FE1">
        <w:rPr>
          <w:rFonts w:ascii="Verdana" w:hAnsi="Verdana" w:cs="Times New Roman"/>
          <w:sz w:val="20"/>
          <w:szCs w:val="20"/>
        </w:rPr>
        <w:t xml:space="preserve">; </w:t>
      </w:r>
      <w:r w:rsidR="004869F7" w:rsidRPr="00987394">
        <w:rPr>
          <w:rFonts w:ascii="Verdana" w:hAnsi="Verdana" w:cs="Times New Roman"/>
          <w:sz w:val="20"/>
          <w:szCs w:val="20"/>
        </w:rPr>
        <w:t xml:space="preserve">(2) </w:t>
      </w:r>
      <w:r w:rsidR="004869F7" w:rsidRPr="00BD25F3">
        <w:rPr>
          <w:rFonts w:ascii="Verdana" w:hAnsi="Verdana" w:cs="Times New Roman"/>
          <w:sz w:val="20"/>
          <w:szCs w:val="20"/>
        </w:rPr>
        <w:t>literacy in writing, reading, speaking, and listening</w:t>
      </w:r>
      <w:r w:rsidR="004869F7" w:rsidRPr="00933FE1">
        <w:rPr>
          <w:rFonts w:ascii="Verdana" w:hAnsi="Verdana" w:cs="Times New Roman"/>
          <w:sz w:val="20"/>
          <w:szCs w:val="20"/>
        </w:rPr>
        <w:t>;</w:t>
      </w:r>
      <w:r w:rsidR="004869F7" w:rsidRPr="00987394">
        <w:rPr>
          <w:rFonts w:ascii="Verdana" w:hAnsi="Verdana" w:cs="Times New Roman"/>
          <w:sz w:val="20"/>
          <w:szCs w:val="20"/>
        </w:rPr>
        <w:t xml:space="preserve"> (3) </w:t>
      </w:r>
      <w:r w:rsidR="004869F7" w:rsidRPr="00BD25F3">
        <w:rPr>
          <w:rFonts w:ascii="Verdana" w:hAnsi="Verdana" w:cs="Times New Roman"/>
          <w:sz w:val="20"/>
          <w:szCs w:val="20"/>
        </w:rPr>
        <w:t>understanding numerical data</w:t>
      </w:r>
      <w:r w:rsidR="004869F7" w:rsidRPr="00987394">
        <w:rPr>
          <w:rFonts w:ascii="Verdana" w:hAnsi="Verdana" w:cs="Times New Roman"/>
          <w:sz w:val="20"/>
          <w:szCs w:val="20"/>
        </w:rPr>
        <w:t xml:space="preserve">; (4) </w:t>
      </w:r>
      <w:r w:rsidR="004869F7" w:rsidRPr="00BD25F3">
        <w:rPr>
          <w:rFonts w:ascii="Verdana" w:hAnsi="Verdana" w:cs="Times New Roman"/>
          <w:sz w:val="20"/>
          <w:szCs w:val="20"/>
        </w:rPr>
        <w:t>historical consciousness</w:t>
      </w:r>
      <w:r w:rsidR="004869F7" w:rsidRPr="00987394">
        <w:rPr>
          <w:rFonts w:ascii="Verdana" w:hAnsi="Verdana" w:cs="Times New Roman"/>
          <w:sz w:val="20"/>
          <w:szCs w:val="20"/>
        </w:rPr>
        <w:t xml:space="preserve">; (5) </w:t>
      </w:r>
      <w:r w:rsidR="004869F7" w:rsidRPr="00BD25F3">
        <w:rPr>
          <w:rFonts w:ascii="Verdana" w:hAnsi="Verdana" w:cs="Times New Roman"/>
          <w:sz w:val="20"/>
          <w:szCs w:val="20"/>
        </w:rPr>
        <w:t>science</w:t>
      </w:r>
      <w:r w:rsidR="004869F7" w:rsidRPr="00987394">
        <w:rPr>
          <w:rFonts w:ascii="Verdana" w:hAnsi="Verdana" w:cs="Times New Roman"/>
          <w:sz w:val="20"/>
          <w:szCs w:val="20"/>
        </w:rPr>
        <w:t xml:space="preserve">; (6) </w:t>
      </w:r>
      <w:r w:rsidR="004869F7" w:rsidRPr="00BD25F3">
        <w:rPr>
          <w:rFonts w:ascii="Verdana" w:hAnsi="Verdana" w:cs="Times New Roman"/>
          <w:sz w:val="20"/>
          <w:szCs w:val="20"/>
        </w:rPr>
        <w:t>values</w:t>
      </w:r>
      <w:r w:rsidR="004869F7" w:rsidRPr="00987394">
        <w:rPr>
          <w:rFonts w:ascii="Verdana" w:hAnsi="Verdana" w:cs="Times New Roman"/>
          <w:sz w:val="20"/>
          <w:szCs w:val="20"/>
        </w:rPr>
        <w:t xml:space="preserve">; (7) </w:t>
      </w:r>
      <w:r w:rsidR="004869F7" w:rsidRPr="00BD25F3">
        <w:rPr>
          <w:rFonts w:ascii="Verdana" w:hAnsi="Verdana" w:cs="Times New Roman"/>
          <w:sz w:val="20"/>
          <w:szCs w:val="20"/>
        </w:rPr>
        <w:t>art</w:t>
      </w:r>
      <w:r w:rsidR="004869F7" w:rsidRPr="00987394">
        <w:rPr>
          <w:rFonts w:ascii="Verdana" w:hAnsi="Verdana" w:cs="Times New Roman"/>
          <w:sz w:val="20"/>
          <w:szCs w:val="20"/>
        </w:rPr>
        <w:t xml:space="preserve">; (8) </w:t>
      </w:r>
      <w:r w:rsidR="004869F7" w:rsidRPr="00BD25F3">
        <w:rPr>
          <w:rFonts w:ascii="Verdana" w:hAnsi="Verdana" w:cs="Times New Roman"/>
          <w:sz w:val="20"/>
          <w:szCs w:val="20"/>
        </w:rPr>
        <w:t>international and multicultural experiences</w:t>
      </w:r>
      <w:r w:rsidR="004869F7" w:rsidRPr="00987394">
        <w:rPr>
          <w:rFonts w:ascii="Verdana" w:hAnsi="Verdana" w:cs="Times New Roman"/>
          <w:sz w:val="20"/>
          <w:szCs w:val="20"/>
        </w:rPr>
        <w:t xml:space="preserve">; and (9) </w:t>
      </w:r>
      <w:r w:rsidR="004869F7" w:rsidRPr="00BD25F3">
        <w:rPr>
          <w:rFonts w:ascii="Verdana" w:hAnsi="Verdana" w:cs="Times New Roman"/>
          <w:sz w:val="20"/>
          <w:szCs w:val="20"/>
        </w:rPr>
        <w:t>study in depth</w:t>
      </w:r>
      <w:r w:rsidR="000672C1" w:rsidRPr="00987394">
        <w:rPr>
          <w:rFonts w:ascii="Verdana" w:hAnsi="Verdana" w:cs="Times New Roman"/>
          <w:sz w:val="20"/>
          <w:szCs w:val="20"/>
        </w:rPr>
        <w:t xml:space="preserve"> </w:t>
      </w:r>
      <w:r w:rsidR="00B7266D" w:rsidRPr="00987394">
        <w:rPr>
          <w:rFonts w:ascii="Verdana" w:hAnsi="Verdana" w:cs="Times New Roman"/>
          <w:sz w:val="20"/>
          <w:szCs w:val="20"/>
        </w:rPr>
        <w:t>(Proctor, 1998, p. 194)</w:t>
      </w:r>
      <w:r w:rsidR="00933FE1">
        <w:rPr>
          <w:rFonts w:ascii="Verdana" w:hAnsi="Verdana" w:cs="Times New Roman"/>
          <w:sz w:val="20"/>
          <w:szCs w:val="20"/>
        </w:rPr>
        <w:t>.</w:t>
      </w:r>
    </w:p>
    <w:p w14:paraId="4EAAED04" w14:textId="1376E846" w:rsidR="0099436A" w:rsidRPr="00010534" w:rsidRDefault="004869F7" w:rsidP="0099436A">
      <w:pPr>
        <w:pStyle w:val="pf0"/>
        <w:rPr>
          <w:rFonts w:ascii="Verdana" w:hAnsi="Verdana" w:cs="Arial"/>
          <w:sz w:val="20"/>
          <w:szCs w:val="20"/>
        </w:rPr>
      </w:pPr>
      <w:r w:rsidRPr="00987394">
        <w:rPr>
          <w:rFonts w:ascii="Verdana" w:hAnsi="Verdana"/>
          <w:sz w:val="20"/>
          <w:szCs w:val="20"/>
          <w:shd w:val="clear" w:color="auto" w:fill="FFFFFF"/>
        </w:rPr>
        <w:t xml:space="preserve">In the community college world, B. Lamar Johnson’s 1952 </w:t>
      </w:r>
      <w:bookmarkStart w:id="1" w:name="_Hlk67591821"/>
      <w:r w:rsidRPr="00987394">
        <w:rPr>
          <w:rFonts w:ascii="Verdana" w:hAnsi="Verdana"/>
          <w:i/>
          <w:iCs/>
          <w:sz w:val="20"/>
          <w:szCs w:val="20"/>
          <w:shd w:val="clear" w:color="auto" w:fill="FFFFFF"/>
        </w:rPr>
        <w:t>General Education in Action: A Report of the California Study of General Education in the Junior College</w:t>
      </w:r>
      <w:bookmarkEnd w:id="1"/>
      <w:r w:rsidR="000B24D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F91B23" w:rsidRPr="00987394">
        <w:rPr>
          <w:rFonts w:ascii="Verdana" w:hAnsi="Verdana"/>
          <w:sz w:val="20"/>
          <w:szCs w:val="20"/>
          <w:shd w:val="clear" w:color="auto" w:fill="FFFFFF"/>
        </w:rPr>
        <w:t>articulated a need for ei</w:t>
      </w:r>
      <w:r w:rsidRPr="00987394">
        <w:rPr>
          <w:rFonts w:ascii="Verdana" w:hAnsi="Verdana"/>
          <w:sz w:val="20"/>
          <w:szCs w:val="20"/>
          <w:shd w:val="clear" w:color="auto" w:fill="FFFFFF"/>
        </w:rPr>
        <w:t xml:space="preserve">ght core areas that </w:t>
      </w:r>
      <w:r w:rsidR="009D064D" w:rsidRPr="00987394">
        <w:rPr>
          <w:rFonts w:ascii="Verdana" w:hAnsi="Verdana"/>
          <w:sz w:val="20"/>
          <w:szCs w:val="20"/>
          <w:shd w:val="clear" w:color="auto" w:fill="FFFFFF"/>
        </w:rPr>
        <w:t xml:space="preserve">all </w:t>
      </w:r>
      <w:r w:rsidRPr="00987394">
        <w:rPr>
          <w:rFonts w:ascii="Verdana" w:hAnsi="Verdana"/>
          <w:sz w:val="20"/>
          <w:szCs w:val="20"/>
          <w:shd w:val="clear" w:color="auto" w:fill="FFFFFF"/>
        </w:rPr>
        <w:t>GE program</w:t>
      </w:r>
      <w:r w:rsidR="009D064D" w:rsidRPr="00987394">
        <w:rPr>
          <w:rFonts w:ascii="Verdana" w:hAnsi="Verdana"/>
          <w:sz w:val="20"/>
          <w:szCs w:val="20"/>
          <w:shd w:val="clear" w:color="auto" w:fill="FFFFFF"/>
        </w:rPr>
        <w:t xml:space="preserve">s </w:t>
      </w:r>
      <w:r w:rsidRPr="00987394">
        <w:rPr>
          <w:rFonts w:ascii="Verdana" w:hAnsi="Verdana"/>
          <w:sz w:val="20"/>
          <w:szCs w:val="20"/>
          <w:shd w:val="clear" w:color="auto" w:fill="FFFFFF"/>
        </w:rPr>
        <w:t xml:space="preserve">should address: (1) </w:t>
      </w:r>
      <w:r w:rsidRPr="00BD25F3">
        <w:rPr>
          <w:rFonts w:ascii="Verdana" w:hAnsi="Verdana"/>
          <w:sz w:val="20"/>
          <w:szCs w:val="20"/>
          <w:shd w:val="clear" w:color="auto" w:fill="FFFFFF"/>
        </w:rPr>
        <w:t>psychology and personal adjustment</w:t>
      </w:r>
      <w:r w:rsidRPr="00987394">
        <w:rPr>
          <w:rFonts w:ascii="Verdana" w:hAnsi="Verdana"/>
          <w:sz w:val="20"/>
          <w:szCs w:val="20"/>
          <w:shd w:val="clear" w:color="auto" w:fill="FFFFFF"/>
        </w:rPr>
        <w:t xml:space="preserve">; (2) </w:t>
      </w:r>
      <w:r w:rsidRPr="00BD25F3">
        <w:rPr>
          <w:rFonts w:ascii="Verdana" w:hAnsi="Verdana"/>
          <w:sz w:val="20"/>
          <w:szCs w:val="20"/>
          <w:shd w:val="clear" w:color="auto" w:fill="FFFFFF"/>
        </w:rPr>
        <w:t>health, physical education, and recreation</w:t>
      </w:r>
      <w:r w:rsidRPr="00987394">
        <w:rPr>
          <w:rFonts w:ascii="Verdana" w:hAnsi="Verdana"/>
          <w:sz w:val="20"/>
          <w:szCs w:val="20"/>
          <w:shd w:val="clear" w:color="auto" w:fill="FFFFFF"/>
        </w:rPr>
        <w:t xml:space="preserve">; (3) </w:t>
      </w:r>
      <w:r w:rsidRPr="00BD25F3">
        <w:rPr>
          <w:rFonts w:ascii="Verdana" w:hAnsi="Verdana"/>
          <w:sz w:val="20"/>
          <w:szCs w:val="20"/>
          <w:shd w:val="clear" w:color="auto" w:fill="FFFFFF"/>
        </w:rPr>
        <w:t>family life education</w:t>
      </w:r>
      <w:r w:rsidRPr="00987394">
        <w:rPr>
          <w:rFonts w:ascii="Verdana" w:hAnsi="Verdana"/>
          <w:sz w:val="20"/>
          <w:szCs w:val="20"/>
          <w:shd w:val="clear" w:color="auto" w:fill="FFFFFF"/>
        </w:rPr>
        <w:t xml:space="preserve">; (4) </w:t>
      </w:r>
      <w:r w:rsidRPr="00010534">
        <w:rPr>
          <w:rFonts w:ascii="Verdana" w:hAnsi="Verdana"/>
          <w:sz w:val="20"/>
          <w:szCs w:val="20"/>
          <w:shd w:val="clear" w:color="auto" w:fill="FFFFFF"/>
        </w:rPr>
        <w:t xml:space="preserve">communication; (5) creative arts and humanities; (6) natural sciences and mathematics; (7) vocational courses; and (8) citizenship and social studies. </w:t>
      </w:r>
      <w:r w:rsidR="009D064D" w:rsidRPr="00010534">
        <w:rPr>
          <w:rFonts w:ascii="Verdana" w:hAnsi="Verdana"/>
          <w:sz w:val="20"/>
          <w:szCs w:val="20"/>
        </w:rPr>
        <w:t>These focus areas shifted with the</w:t>
      </w:r>
      <w:r w:rsidR="000B24D4" w:rsidRPr="00010534">
        <w:rPr>
          <w:rFonts w:ascii="Verdana" w:hAnsi="Verdana"/>
          <w:sz w:val="20"/>
          <w:szCs w:val="20"/>
        </w:rPr>
        <w:t xml:space="preserve"> </w:t>
      </w:r>
      <w:r w:rsidRPr="00010534">
        <w:rPr>
          <w:rFonts w:ascii="Verdana" w:hAnsi="Verdana"/>
          <w:sz w:val="20"/>
          <w:szCs w:val="20"/>
        </w:rPr>
        <w:t>turn of the 21</w:t>
      </w:r>
      <w:r w:rsidRPr="00010534">
        <w:rPr>
          <w:rFonts w:ascii="Verdana" w:hAnsi="Verdana"/>
          <w:sz w:val="20"/>
          <w:szCs w:val="20"/>
          <w:vertAlign w:val="superscript"/>
        </w:rPr>
        <w:t>st</w:t>
      </w:r>
      <w:r w:rsidRPr="00010534">
        <w:rPr>
          <w:rFonts w:ascii="Verdana" w:hAnsi="Verdana"/>
          <w:sz w:val="20"/>
          <w:szCs w:val="20"/>
        </w:rPr>
        <w:t xml:space="preserve"> </w:t>
      </w:r>
      <w:r w:rsidR="00933FE1" w:rsidRPr="00010534">
        <w:rPr>
          <w:rFonts w:ascii="Verdana" w:hAnsi="Verdana"/>
          <w:sz w:val="20"/>
          <w:szCs w:val="20"/>
        </w:rPr>
        <w:t>c</w:t>
      </w:r>
      <w:r w:rsidRPr="00010534">
        <w:rPr>
          <w:rFonts w:ascii="Verdana" w:hAnsi="Verdana"/>
          <w:sz w:val="20"/>
          <w:szCs w:val="20"/>
        </w:rPr>
        <w:t xml:space="preserve">entury, </w:t>
      </w:r>
      <w:r w:rsidR="009D064D" w:rsidRPr="00010534">
        <w:rPr>
          <w:rFonts w:ascii="Verdana" w:hAnsi="Verdana"/>
          <w:sz w:val="20"/>
          <w:szCs w:val="20"/>
        </w:rPr>
        <w:t>as noted in a</w:t>
      </w:r>
      <w:r w:rsidRPr="00010534">
        <w:rPr>
          <w:rFonts w:ascii="Verdana" w:hAnsi="Verdana"/>
          <w:sz w:val="20"/>
          <w:szCs w:val="20"/>
        </w:rPr>
        <w:t xml:space="preserve"> study of 230 U.S. and Canadian two-year institutions </w:t>
      </w:r>
      <w:r w:rsidR="009D064D" w:rsidRPr="00010534">
        <w:rPr>
          <w:rFonts w:ascii="Verdana" w:hAnsi="Verdana"/>
          <w:sz w:val="20"/>
          <w:szCs w:val="20"/>
        </w:rPr>
        <w:t xml:space="preserve">that </w:t>
      </w:r>
      <w:r w:rsidRPr="00010534">
        <w:rPr>
          <w:rFonts w:ascii="Verdana" w:hAnsi="Verdana"/>
          <w:sz w:val="20"/>
          <w:szCs w:val="20"/>
        </w:rPr>
        <w:t xml:space="preserve">identified </w:t>
      </w:r>
      <w:r w:rsidR="009D064D" w:rsidRPr="00010534">
        <w:rPr>
          <w:rFonts w:ascii="Verdana" w:hAnsi="Verdana"/>
          <w:sz w:val="20"/>
          <w:szCs w:val="20"/>
        </w:rPr>
        <w:t>six</w:t>
      </w:r>
      <w:r w:rsidRPr="00010534">
        <w:rPr>
          <w:rFonts w:ascii="Verdana" w:hAnsi="Verdana"/>
          <w:sz w:val="20"/>
          <w:szCs w:val="20"/>
        </w:rPr>
        <w:t xml:space="preserve"> areas “deemed essential for student success in the Knowledge Age that characterizes the new global economy” (Wilson et al., 2000, p.</w:t>
      </w:r>
      <w:r w:rsidR="00933FE1" w:rsidRPr="00010534">
        <w:rPr>
          <w:rFonts w:ascii="Verdana" w:hAnsi="Verdana"/>
          <w:sz w:val="20"/>
          <w:szCs w:val="20"/>
        </w:rPr>
        <w:t xml:space="preserve"> </w:t>
      </w:r>
      <w:r w:rsidRPr="00010534">
        <w:rPr>
          <w:rFonts w:ascii="Verdana" w:hAnsi="Verdana"/>
          <w:sz w:val="20"/>
          <w:szCs w:val="20"/>
        </w:rPr>
        <w:t>18)</w:t>
      </w:r>
      <w:r w:rsidR="0099436A" w:rsidRPr="00010534">
        <w:rPr>
          <w:rFonts w:ascii="Verdana" w:hAnsi="Verdana"/>
          <w:sz w:val="20"/>
          <w:szCs w:val="20"/>
        </w:rPr>
        <w:t xml:space="preserve">. </w:t>
      </w:r>
      <w:r w:rsidR="0099436A" w:rsidRPr="00010534">
        <w:rPr>
          <w:rStyle w:val="cf01"/>
          <w:rFonts w:ascii="Verdana" w:hAnsi="Verdana"/>
          <w:sz w:val="20"/>
          <w:szCs w:val="20"/>
        </w:rPr>
        <w:t xml:space="preserve">These areas included communication, critical thinking/problem solving, technology literacy, mathematics, information management, collaboration/teamwork, and cultural/global studies. </w:t>
      </w:r>
    </w:p>
    <w:p w14:paraId="5606E381" w14:textId="6B71F080" w:rsidR="006E7F9B" w:rsidRPr="00987394" w:rsidRDefault="00024A3C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</w:rPr>
      </w:pPr>
      <w:r w:rsidRPr="00987394">
        <w:rPr>
          <w:rFonts w:ascii="Verdana" w:hAnsi="Verdana" w:cs="Times New Roman"/>
          <w:sz w:val="20"/>
          <w:szCs w:val="20"/>
        </w:rPr>
        <w:t xml:space="preserve">Consideration of </w:t>
      </w:r>
      <w:r w:rsidR="001D2362" w:rsidRPr="00987394">
        <w:rPr>
          <w:rFonts w:ascii="Verdana" w:hAnsi="Verdana" w:cs="Times New Roman"/>
          <w:sz w:val="20"/>
          <w:szCs w:val="20"/>
        </w:rPr>
        <w:t>current</w:t>
      </w:r>
      <w:r w:rsidR="00F13947" w:rsidRPr="00987394">
        <w:rPr>
          <w:rFonts w:ascii="Verdana" w:hAnsi="Verdana" w:cs="Times New Roman"/>
          <w:sz w:val="20"/>
          <w:szCs w:val="20"/>
        </w:rPr>
        <w:t xml:space="preserve"> </w:t>
      </w:r>
      <w:r w:rsidRPr="00987394">
        <w:rPr>
          <w:rFonts w:ascii="Verdana" w:hAnsi="Verdana" w:cs="Times New Roman"/>
          <w:sz w:val="20"/>
          <w:szCs w:val="20"/>
        </w:rPr>
        <w:t xml:space="preserve">essential </w:t>
      </w:r>
      <w:r w:rsidR="00B65A28" w:rsidRPr="00987394">
        <w:rPr>
          <w:rFonts w:ascii="Verdana" w:hAnsi="Verdana" w:cs="Times New Roman"/>
          <w:sz w:val="20"/>
          <w:szCs w:val="20"/>
        </w:rPr>
        <w:t xml:space="preserve">student success skills </w:t>
      </w:r>
      <w:r w:rsidR="00F96E80" w:rsidRPr="00987394">
        <w:rPr>
          <w:rFonts w:ascii="Verdana" w:hAnsi="Verdana" w:cs="Times New Roman"/>
          <w:sz w:val="20"/>
          <w:szCs w:val="20"/>
        </w:rPr>
        <w:t>has been</w:t>
      </w:r>
      <w:r w:rsidR="007E4EF5" w:rsidRPr="00987394">
        <w:rPr>
          <w:rFonts w:ascii="Verdana" w:hAnsi="Verdana" w:cs="Times New Roman"/>
          <w:sz w:val="20"/>
          <w:szCs w:val="20"/>
        </w:rPr>
        <w:t xml:space="preserve"> </w:t>
      </w:r>
      <w:r w:rsidR="00DE364B" w:rsidRPr="00987394">
        <w:rPr>
          <w:rFonts w:ascii="Verdana" w:hAnsi="Verdana" w:cs="Times New Roman"/>
          <w:sz w:val="20"/>
          <w:szCs w:val="20"/>
        </w:rPr>
        <w:t xml:space="preserve">relegated to the career education side of most community college </w:t>
      </w:r>
      <w:r w:rsidR="00F13947" w:rsidRPr="00987394">
        <w:rPr>
          <w:rFonts w:ascii="Verdana" w:hAnsi="Verdana" w:cs="Times New Roman"/>
          <w:sz w:val="20"/>
          <w:szCs w:val="20"/>
        </w:rPr>
        <w:t>houses</w:t>
      </w:r>
      <w:r w:rsidR="00CB7B5F" w:rsidRPr="00987394">
        <w:rPr>
          <w:rFonts w:ascii="Verdana" w:hAnsi="Verdana" w:cs="Times New Roman"/>
          <w:sz w:val="20"/>
          <w:szCs w:val="20"/>
        </w:rPr>
        <w:t xml:space="preserve"> or included in stand-alone </w:t>
      </w:r>
      <w:r w:rsidR="00933FE1">
        <w:rPr>
          <w:rFonts w:ascii="Verdana" w:hAnsi="Verdana" w:cs="Times New Roman"/>
          <w:sz w:val="20"/>
          <w:szCs w:val="20"/>
        </w:rPr>
        <w:t>c</w:t>
      </w:r>
      <w:r w:rsidR="00CB7B5F" w:rsidRPr="00987394">
        <w:rPr>
          <w:rFonts w:ascii="Verdana" w:hAnsi="Verdana" w:cs="Times New Roman"/>
          <w:sz w:val="20"/>
          <w:szCs w:val="20"/>
        </w:rPr>
        <w:t xml:space="preserve">ollege </w:t>
      </w:r>
      <w:r w:rsidR="00933FE1">
        <w:rPr>
          <w:rFonts w:ascii="Verdana" w:hAnsi="Verdana" w:cs="Times New Roman"/>
          <w:sz w:val="20"/>
          <w:szCs w:val="20"/>
        </w:rPr>
        <w:t>s</w:t>
      </w:r>
      <w:r w:rsidR="00CB7B5F" w:rsidRPr="00987394">
        <w:rPr>
          <w:rFonts w:ascii="Verdana" w:hAnsi="Verdana" w:cs="Times New Roman"/>
          <w:sz w:val="20"/>
          <w:szCs w:val="20"/>
        </w:rPr>
        <w:t xml:space="preserve">uccess </w:t>
      </w:r>
      <w:r w:rsidR="00CB7B5F" w:rsidRPr="00987394">
        <w:rPr>
          <w:rFonts w:ascii="Verdana" w:hAnsi="Verdana" w:cs="Times New Roman"/>
          <w:sz w:val="20"/>
          <w:szCs w:val="20"/>
        </w:rPr>
        <w:lastRenderedPageBreak/>
        <w:t>courses</w:t>
      </w:r>
      <w:r w:rsidR="007E4EF5" w:rsidRPr="00987394">
        <w:rPr>
          <w:rFonts w:ascii="Verdana" w:hAnsi="Verdana" w:cs="Times New Roman"/>
          <w:sz w:val="20"/>
          <w:szCs w:val="20"/>
        </w:rPr>
        <w:t xml:space="preserve">. Curiously, </w:t>
      </w:r>
      <w:r w:rsidR="00DE39EA" w:rsidRPr="00987394">
        <w:rPr>
          <w:rFonts w:ascii="Verdana" w:hAnsi="Verdana" w:cs="Times New Roman"/>
          <w:sz w:val="20"/>
          <w:szCs w:val="20"/>
        </w:rPr>
        <w:t>these</w:t>
      </w:r>
      <w:r w:rsidR="007E4EF5" w:rsidRPr="00987394">
        <w:rPr>
          <w:rFonts w:ascii="Verdana" w:hAnsi="Verdana" w:cs="Times New Roman"/>
          <w:sz w:val="20"/>
          <w:szCs w:val="20"/>
        </w:rPr>
        <w:t xml:space="preserve"> are </w:t>
      </w:r>
      <w:r w:rsidR="00307E73" w:rsidRPr="00987394">
        <w:rPr>
          <w:rFonts w:ascii="Verdana" w:hAnsi="Verdana" w:cs="Times New Roman"/>
          <w:sz w:val="20"/>
          <w:szCs w:val="20"/>
        </w:rPr>
        <w:t>central</w:t>
      </w:r>
      <w:r w:rsidR="00DE364B" w:rsidRPr="00987394">
        <w:rPr>
          <w:rFonts w:ascii="Verdana" w:hAnsi="Verdana" w:cs="Times New Roman"/>
          <w:sz w:val="20"/>
          <w:szCs w:val="20"/>
        </w:rPr>
        <w:t xml:space="preserve"> among </w:t>
      </w:r>
      <w:r w:rsidR="006E7F9B" w:rsidRPr="00987394">
        <w:rPr>
          <w:rFonts w:ascii="Verdana" w:hAnsi="Verdana" w:cs="Times New Roman"/>
          <w:sz w:val="20"/>
          <w:szCs w:val="20"/>
        </w:rPr>
        <w:t>AAC&amp;U’s</w:t>
      </w:r>
      <w:r w:rsidR="00714B05" w:rsidRPr="00987394">
        <w:rPr>
          <w:rFonts w:ascii="Verdana" w:hAnsi="Verdana" w:cs="Times New Roman"/>
          <w:sz w:val="20"/>
          <w:szCs w:val="20"/>
        </w:rPr>
        <w:t xml:space="preserve"> </w:t>
      </w:r>
      <w:r w:rsidR="0020650C">
        <w:rPr>
          <w:rFonts w:ascii="Verdana" w:hAnsi="Verdana" w:cs="Times New Roman"/>
          <w:sz w:val="20"/>
          <w:szCs w:val="20"/>
        </w:rPr>
        <w:t xml:space="preserve">(n.d.) </w:t>
      </w:r>
      <w:r w:rsidR="00714B05" w:rsidRPr="00BD25F3">
        <w:rPr>
          <w:rFonts w:ascii="Verdana" w:hAnsi="Verdana" w:cs="Times New Roman"/>
          <w:sz w:val="20"/>
          <w:szCs w:val="20"/>
        </w:rPr>
        <w:t>Essential Learning Outcome</w:t>
      </w:r>
      <w:r w:rsidR="001C0789" w:rsidRPr="00BD25F3">
        <w:rPr>
          <w:rFonts w:ascii="Verdana" w:hAnsi="Verdana" w:cs="Times New Roman"/>
          <w:sz w:val="20"/>
          <w:szCs w:val="20"/>
        </w:rPr>
        <w:t>s</w:t>
      </w:r>
      <w:r w:rsidR="001C0789" w:rsidRPr="00987394">
        <w:rPr>
          <w:rFonts w:ascii="Verdana" w:hAnsi="Verdana" w:cs="Times New Roman"/>
          <w:sz w:val="20"/>
          <w:szCs w:val="20"/>
        </w:rPr>
        <w:t xml:space="preserve"> framework that extols a broad-based liberal </w:t>
      </w:r>
      <w:r w:rsidR="007E4EF5" w:rsidRPr="00987394">
        <w:rPr>
          <w:rFonts w:ascii="Verdana" w:hAnsi="Verdana" w:cs="Times New Roman"/>
          <w:sz w:val="20"/>
          <w:szCs w:val="20"/>
        </w:rPr>
        <w:t xml:space="preserve">undergraduate </w:t>
      </w:r>
      <w:r w:rsidR="001C0789" w:rsidRPr="00987394">
        <w:rPr>
          <w:rFonts w:ascii="Verdana" w:hAnsi="Verdana" w:cs="Times New Roman"/>
          <w:sz w:val="20"/>
          <w:szCs w:val="20"/>
        </w:rPr>
        <w:t>education in preparing students for 21</w:t>
      </w:r>
      <w:r w:rsidR="0020650C" w:rsidRPr="0020650C">
        <w:rPr>
          <w:rFonts w:ascii="Verdana" w:hAnsi="Verdana" w:cs="Times New Roman"/>
          <w:sz w:val="20"/>
          <w:szCs w:val="20"/>
          <w:vertAlign w:val="superscript"/>
        </w:rPr>
        <w:t>st</w:t>
      </w:r>
      <w:r w:rsidR="00933FE1">
        <w:rPr>
          <w:rFonts w:ascii="Verdana" w:hAnsi="Verdana" w:cs="Times New Roman"/>
          <w:sz w:val="20"/>
          <w:szCs w:val="20"/>
        </w:rPr>
        <w:t xml:space="preserve"> </w:t>
      </w:r>
      <w:r w:rsidR="001C0789" w:rsidRPr="00987394">
        <w:rPr>
          <w:rFonts w:ascii="Verdana" w:hAnsi="Verdana" w:cs="Times New Roman"/>
          <w:sz w:val="20"/>
          <w:szCs w:val="20"/>
        </w:rPr>
        <w:t>century careers and citizenship</w:t>
      </w:r>
      <w:r w:rsidR="007E4EF5" w:rsidRPr="00987394">
        <w:rPr>
          <w:rFonts w:ascii="Verdana" w:hAnsi="Verdana" w:cs="Times New Roman"/>
          <w:sz w:val="20"/>
          <w:szCs w:val="20"/>
        </w:rPr>
        <w:t>—the central aim of general education writ large</w:t>
      </w:r>
      <w:r w:rsidR="001C0789" w:rsidRPr="00987394">
        <w:rPr>
          <w:rFonts w:ascii="Verdana" w:hAnsi="Verdana" w:cs="Times New Roman"/>
          <w:sz w:val="20"/>
          <w:szCs w:val="20"/>
        </w:rPr>
        <w:t xml:space="preserve">. </w:t>
      </w:r>
    </w:p>
    <w:p w14:paraId="33104C8F" w14:textId="77777777" w:rsidR="00A623FA" w:rsidRPr="00987394" w:rsidRDefault="00A623FA" w:rsidP="00A623FA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14:paraId="6E2C7773" w14:textId="4C715680" w:rsidR="0034131F" w:rsidRPr="00987394" w:rsidRDefault="0034131F" w:rsidP="0037672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987394">
        <w:rPr>
          <w:rFonts w:ascii="Verdana" w:hAnsi="Verdana" w:cs="Times New Roman"/>
          <w:b/>
          <w:bCs/>
          <w:sz w:val="20"/>
          <w:szCs w:val="20"/>
        </w:rPr>
        <w:t xml:space="preserve">The Current Community College </w:t>
      </w:r>
      <w:r w:rsidR="005A0468" w:rsidRPr="00987394">
        <w:rPr>
          <w:rFonts w:ascii="Verdana" w:hAnsi="Verdana" w:cs="Times New Roman"/>
          <w:b/>
          <w:bCs/>
          <w:sz w:val="20"/>
          <w:szCs w:val="20"/>
        </w:rPr>
        <w:t xml:space="preserve">Curricular </w:t>
      </w:r>
      <w:r w:rsidRPr="00987394">
        <w:rPr>
          <w:rFonts w:ascii="Verdana" w:hAnsi="Verdana" w:cs="Times New Roman"/>
          <w:b/>
          <w:bCs/>
          <w:sz w:val="20"/>
          <w:szCs w:val="20"/>
        </w:rPr>
        <w:t>Reform Movement</w:t>
      </w:r>
    </w:p>
    <w:p w14:paraId="2BE59421" w14:textId="77777777" w:rsidR="00A623FA" w:rsidRPr="00987394" w:rsidRDefault="00A623FA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38B13624" w14:textId="5EF01C40" w:rsidR="00B279DA" w:rsidRPr="00987394" w:rsidRDefault="002214FB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</w:rPr>
      </w:pPr>
      <w:r w:rsidRPr="00987394">
        <w:rPr>
          <w:rFonts w:ascii="Verdana" w:hAnsi="Verdana" w:cs="Times New Roman"/>
          <w:sz w:val="20"/>
          <w:szCs w:val="20"/>
        </w:rPr>
        <w:t>In</w:t>
      </w:r>
      <w:r w:rsidR="006603F8" w:rsidRPr="00987394">
        <w:rPr>
          <w:rFonts w:ascii="Verdana" w:hAnsi="Verdana" w:cs="Times New Roman"/>
          <w:sz w:val="20"/>
          <w:szCs w:val="20"/>
        </w:rPr>
        <w:t xml:space="preserve"> 2015, the community college world was upended by </w:t>
      </w:r>
      <w:r w:rsidR="00827D20" w:rsidRPr="00987394">
        <w:rPr>
          <w:rFonts w:ascii="Verdana" w:hAnsi="Verdana" w:cs="Times New Roman"/>
          <w:i/>
          <w:iCs/>
          <w:sz w:val="20"/>
          <w:szCs w:val="20"/>
        </w:rPr>
        <w:t>Redesigning America’s Community Colleges</w:t>
      </w:r>
      <w:r w:rsidR="00EE7FF4" w:rsidRPr="00987394">
        <w:rPr>
          <w:rFonts w:ascii="Verdana" w:hAnsi="Verdana" w:cs="Times New Roman"/>
          <w:sz w:val="20"/>
          <w:szCs w:val="20"/>
        </w:rPr>
        <w:t xml:space="preserve"> (Bailey</w:t>
      </w:r>
      <w:r w:rsidR="009C15B7" w:rsidRPr="00987394">
        <w:rPr>
          <w:rFonts w:ascii="Verdana" w:hAnsi="Verdana" w:cs="Times New Roman"/>
          <w:sz w:val="20"/>
          <w:szCs w:val="20"/>
        </w:rPr>
        <w:t xml:space="preserve"> et al.</w:t>
      </w:r>
      <w:r w:rsidR="00EE7FF4" w:rsidRPr="00987394">
        <w:rPr>
          <w:rFonts w:ascii="Verdana" w:hAnsi="Verdana" w:cs="Times New Roman"/>
          <w:sz w:val="20"/>
          <w:szCs w:val="20"/>
        </w:rPr>
        <w:t>)</w:t>
      </w:r>
      <w:r w:rsidR="00045F36" w:rsidRPr="00987394">
        <w:rPr>
          <w:rFonts w:ascii="Verdana" w:hAnsi="Verdana" w:cs="Times New Roman"/>
          <w:i/>
          <w:iCs/>
          <w:sz w:val="20"/>
          <w:szCs w:val="20"/>
        </w:rPr>
        <w:t>,</w:t>
      </w:r>
      <w:r w:rsidR="00827D20" w:rsidRPr="00987394">
        <w:rPr>
          <w:rFonts w:ascii="Verdana" w:hAnsi="Verdana" w:cs="Times New Roman"/>
          <w:sz w:val="20"/>
          <w:szCs w:val="20"/>
        </w:rPr>
        <w:t xml:space="preserve"> </w:t>
      </w:r>
      <w:r w:rsidR="0059796A" w:rsidRPr="00987394">
        <w:rPr>
          <w:rFonts w:ascii="Verdana" w:hAnsi="Verdana" w:cs="Times New Roman"/>
          <w:sz w:val="20"/>
          <w:szCs w:val="20"/>
        </w:rPr>
        <w:t>which</w:t>
      </w:r>
      <w:r w:rsidR="00EE7FF4" w:rsidRPr="00987394">
        <w:rPr>
          <w:rFonts w:ascii="Verdana" w:hAnsi="Verdana" w:cs="Times New Roman"/>
          <w:sz w:val="20"/>
          <w:szCs w:val="20"/>
        </w:rPr>
        <w:t xml:space="preserve"> distilled </w:t>
      </w:r>
      <w:r w:rsidR="0059796A" w:rsidRPr="00987394">
        <w:rPr>
          <w:rFonts w:ascii="Verdana" w:hAnsi="Verdana" w:cs="Times New Roman"/>
          <w:sz w:val="20"/>
          <w:szCs w:val="20"/>
        </w:rPr>
        <w:t xml:space="preserve">decades of data </w:t>
      </w:r>
      <w:r w:rsidR="00EE7FF4" w:rsidRPr="00987394">
        <w:rPr>
          <w:rFonts w:ascii="Verdana" w:hAnsi="Verdana"/>
          <w:sz w:val="20"/>
          <w:szCs w:val="20"/>
          <w:shd w:val="clear" w:color="auto" w:fill="FFFFFF"/>
        </w:rPr>
        <w:t>from the Community College Research Center</w:t>
      </w:r>
      <w:r w:rsidR="0059796A" w:rsidRPr="00987394">
        <w:rPr>
          <w:rFonts w:ascii="Verdana" w:hAnsi="Verdana"/>
          <w:sz w:val="20"/>
          <w:szCs w:val="20"/>
          <w:shd w:val="clear" w:color="auto" w:fill="FFFFFF"/>
        </w:rPr>
        <w:t xml:space="preserve">. It </w:t>
      </w:r>
      <w:r w:rsidR="006603F8" w:rsidRPr="00987394">
        <w:rPr>
          <w:rFonts w:ascii="Verdana" w:hAnsi="Verdana" w:cs="Times New Roman"/>
          <w:sz w:val="20"/>
          <w:szCs w:val="20"/>
        </w:rPr>
        <w:t xml:space="preserve">zeroed in on the </w:t>
      </w:r>
      <w:r w:rsidR="00777FB5" w:rsidRPr="00987394">
        <w:rPr>
          <w:rFonts w:ascii="Verdana" w:hAnsi="Verdana" w:cs="Times New Roman"/>
          <w:sz w:val="20"/>
          <w:szCs w:val="20"/>
        </w:rPr>
        <w:t>enduringly</w:t>
      </w:r>
      <w:r w:rsidR="00ED14D3" w:rsidRPr="00987394">
        <w:rPr>
          <w:rFonts w:ascii="Verdana" w:hAnsi="Verdana" w:cs="Times New Roman"/>
          <w:sz w:val="20"/>
          <w:szCs w:val="20"/>
        </w:rPr>
        <w:t xml:space="preserve"> low</w:t>
      </w:r>
      <w:r w:rsidR="004E38F6" w:rsidRPr="00987394">
        <w:rPr>
          <w:rFonts w:ascii="Verdana" w:hAnsi="Verdana" w:cs="Times New Roman"/>
          <w:sz w:val="20"/>
          <w:szCs w:val="20"/>
        </w:rPr>
        <w:t xml:space="preserve"> </w:t>
      </w:r>
      <w:r w:rsidR="002A39C8" w:rsidRPr="00987394">
        <w:rPr>
          <w:rFonts w:ascii="Verdana" w:hAnsi="Verdana" w:cs="Times New Roman"/>
          <w:sz w:val="20"/>
          <w:szCs w:val="20"/>
        </w:rPr>
        <w:t xml:space="preserve">and inequitable success rates in two-year colleges and </w:t>
      </w:r>
      <w:r w:rsidR="00545365" w:rsidRPr="00987394">
        <w:rPr>
          <w:rFonts w:ascii="Verdana" w:hAnsi="Verdana" w:cs="Times New Roman"/>
          <w:sz w:val="20"/>
          <w:szCs w:val="20"/>
        </w:rPr>
        <w:t xml:space="preserve">the </w:t>
      </w:r>
      <w:r w:rsidR="002F1A31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impotence of </w:t>
      </w:r>
      <w:r w:rsidR="002A39C8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what </w:t>
      </w:r>
      <w:r w:rsidR="005A0468" w:rsidRPr="00987394">
        <w:rPr>
          <w:rFonts w:ascii="Verdana" w:hAnsi="Verdana" w:cs="Times New Roman"/>
          <w:sz w:val="20"/>
          <w:szCs w:val="20"/>
          <w:shd w:val="clear" w:color="auto" w:fill="FFFFFF"/>
        </w:rPr>
        <w:t>the authors</w:t>
      </w:r>
      <w:r w:rsidR="002A39C8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termed the</w:t>
      </w:r>
      <w:r w:rsidR="002F1A31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2F1A31" w:rsidRPr="00BD25F3">
        <w:rPr>
          <w:rFonts w:ascii="Verdana" w:hAnsi="Verdana" w:cs="Times New Roman"/>
          <w:sz w:val="20"/>
          <w:szCs w:val="20"/>
          <w:shd w:val="clear" w:color="auto" w:fill="FFFFFF"/>
        </w:rPr>
        <w:t>cafeteria curriculum</w:t>
      </w:r>
      <w:r w:rsidR="00396EFE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: </w:t>
      </w:r>
      <w:r w:rsidR="002F1A31" w:rsidRPr="00987394">
        <w:rPr>
          <w:rFonts w:ascii="Verdana" w:hAnsi="Verdana" w:cs="AdvOT1ef757c0+20"/>
          <w:sz w:val="20"/>
          <w:szCs w:val="20"/>
        </w:rPr>
        <w:t>“</w:t>
      </w:r>
      <w:r w:rsidR="002F1A31" w:rsidRPr="00987394">
        <w:rPr>
          <w:rFonts w:ascii="Verdana" w:hAnsi="Verdana" w:cs="Times New Roman"/>
          <w:sz w:val="20"/>
          <w:szCs w:val="20"/>
        </w:rPr>
        <w:t xml:space="preserve">an </w:t>
      </w:r>
      <w:r w:rsidR="002F1A31" w:rsidRPr="00987394">
        <w:rPr>
          <w:rFonts w:ascii="Verdana" w:hAnsi="Verdana" w:cs="Times New Roman"/>
          <w:sz w:val="20"/>
          <w:szCs w:val="20"/>
          <w:shd w:val="clear" w:color="auto" w:fill="FFFFFF"/>
        </w:rPr>
        <w:t>array of often-disconnected courses, programs,</w:t>
      </w:r>
      <w:r w:rsidR="00175B4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2F1A31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and support services that students are expected to navigate mostly on their own” </w:t>
      </w:r>
      <w:r w:rsidR="002A39C8" w:rsidRPr="00987394">
        <w:rPr>
          <w:rFonts w:ascii="Verdana" w:hAnsi="Verdana" w:cs="Times New Roman"/>
          <w:sz w:val="20"/>
          <w:szCs w:val="20"/>
          <w:shd w:val="clear" w:color="auto" w:fill="FFFFFF"/>
        </w:rPr>
        <w:t>(p.</w:t>
      </w:r>
      <w:r w:rsidR="00933FE1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4536D3" w:rsidRPr="00987394">
        <w:rPr>
          <w:rFonts w:ascii="Verdana" w:hAnsi="Verdana" w:cs="Times New Roman"/>
          <w:sz w:val="20"/>
          <w:szCs w:val="20"/>
          <w:shd w:val="clear" w:color="auto" w:fill="FFFFFF"/>
        </w:rPr>
        <w:t>3</w:t>
      </w:r>
      <w:r w:rsidR="002A39C8" w:rsidRPr="00987394">
        <w:rPr>
          <w:rFonts w:ascii="Verdana" w:hAnsi="Verdana" w:cs="Times New Roman"/>
          <w:sz w:val="20"/>
          <w:szCs w:val="20"/>
          <w:shd w:val="clear" w:color="auto" w:fill="FFFFFF"/>
        </w:rPr>
        <w:t>)</w:t>
      </w:r>
      <w:r w:rsidR="004536D3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. </w:t>
      </w:r>
      <w:r w:rsidR="00EE3402" w:rsidRPr="00987394">
        <w:rPr>
          <w:rFonts w:ascii="Verdana" w:hAnsi="Verdana" w:cs="Times New Roman"/>
          <w:sz w:val="20"/>
          <w:szCs w:val="20"/>
          <w:shd w:val="clear" w:color="auto" w:fill="FFFFFF"/>
        </w:rPr>
        <w:t>This publication</w:t>
      </w:r>
      <w:r w:rsidR="0093696D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931EBC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crystalized </w:t>
      </w:r>
      <w:r w:rsidR="009B0E2A" w:rsidRPr="00987394">
        <w:rPr>
          <w:rFonts w:ascii="Verdana" w:hAnsi="Verdana" w:cs="Times New Roman"/>
          <w:sz w:val="20"/>
          <w:szCs w:val="20"/>
        </w:rPr>
        <w:t>criticism</w:t>
      </w:r>
      <w:r w:rsidR="00045F36" w:rsidRPr="00987394">
        <w:rPr>
          <w:rFonts w:ascii="Verdana" w:hAnsi="Verdana" w:cs="Times New Roman"/>
          <w:sz w:val="20"/>
          <w:szCs w:val="20"/>
        </w:rPr>
        <w:t xml:space="preserve"> </w:t>
      </w:r>
      <w:r w:rsidR="00A47631" w:rsidRPr="00987394">
        <w:rPr>
          <w:rFonts w:ascii="Verdana" w:hAnsi="Verdana" w:cs="Times New Roman"/>
          <w:sz w:val="20"/>
          <w:szCs w:val="20"/>
        </w:rPr>
        <w:t xml:space="preserve">of the </w:t>
      </w:r>
      <w:r w:rsidR="00501B5B" w:rsidRPr="00987394">
        <w:rPr>
          <w:rFonts w:ascii="Verdana" w:hAnsi="Verdana" w:cs="Times New Roman"/>
          <w:sz w:val="20"/>
          <w:szCs w:val="20"/>
        </w:rPr>
        <w:t>abysmal</w:t>
      </w:r>
      <w:r w:rsidR="009B0E2A" w:rsidRPr="00987394">
        <w:rPr>
          <w:rFonts w:ascii="Verdana" w:hAnsi="Verdana" w:cs="Times New Roman"/>
          <w:sz w:val="20"/>
          <w:szCs w:val="20"/>
        </w:rPr>
        <w:t xml:space="preserve"> </w:t>
      </w:r>
      <w:r w:rsidR="00931EBC" w:rsidRPr="00987394">
        <w:rPr>
          <w:rFonts w:ascii="Verdana" w:hAnsi="Verdana" w:cs="Times New Roman"/>
          <w:sz w:val="20"/>
          <w:szCs w:val="20"/>
        </w:rPr>
        <w:t xml:space="preserve">experiences </w:t>
      </w:r>
      <w:r w:rsidR="00501B5B" w:rsidRPr="00987394">
        <w:rPr>
          <w:rFonts w:ascii="Verdana" w:hAnsi="Verdana" w:cs="Times New Roman"/>
          <w:sz w:val="20"/>
          <w:szCs w:val="20"/>
        </w:rPr>
        <w:t>of large numbers of</w:t>
      </w:r>
      <w:r w:rsidR="00931EBC" w:rsidRPr="00987394">
        <w:rPr>
          <w:rFonts w:ascii="Verdana" w:hAnsi="Verdana" w:cs="Times New Roman"/>
          <w:sz w:val="20"/>
          <w:szCs w:val="20"/>
        </w:rPr>
        <w:t xml:space="preserve"> community college students, </w:t>
      </w:r>
      <w:r w:rsidR="00035572" w:rsidRPr="00987394">
        <w:rPr>
          <w:rFonts w:ascii="Verdana" w:hAnsi="Verdana" w:cs="Times New Roman"/>
          <w:sz w:val="20"/>
          <w:szCs w:val="20"/>
        </w:rPr>
        <w:t xml:space="preserve">especially low-income and </w:t>
      </w:r>
      <w:r w:rsidR="002D31AE" w:rsidRPr="00987394">
        <w:rPr>
          <w:rFonts w:ascii="Verdana" w:hAnsi="Verdana" w:cs="Times New Roman"/>
          <w:sz w:val="20"/>
          <w:szCs w:val="20"/>
        </w:rPr>
        <w:t>students of color</w:t>
      </w:r>
      <w:r w:rsidR="009B0E2A" w:rsidRPr="00987394">
        <w:rPr>
          <w:rFonts w:ascii="Verdana" w:hAnsi="Verdana" w:cs="Times New Roman"/>
          <w:sz w:val="20"/>
          <w:szCs w:val="20"/>
        </w:rPr>
        <w:t xml:space="preserve">, </w:t>
      </w:r>
      <w:r w:rsidR="00A47631" w:rsidRPr="00987394">
        <w:rPr>
          <w:rFonts w:ascii="Verdana" w:hAnsi="Verdana" w:cs="Times New Roman"/>
          <w:sz w:val="20"/>
          <w:szCs w:val="20"/>
        </w:rPr>
        <w:t>and inspired</w:t>
      </w:r>
      <w:r w:rsidR="00045F36" w:rsidRPr="00987394">
        <w:rPr>
          <w:rFonts w:ascii="Verdana" w:hAnsi="Verdana" w:cs="Times New Roman"/>
          <w:sz w:val="20"/>
          <w:szCs w:val="20"/>
        </w:rPr>
        <w:t xml:space="preserve"> a </w:t>
      </w:r>
      <w:r w:rsidR="00B550FC" w:rsidRPr="00987394">
        <w:rPr>
          <w:rFonts w:ascii="Verdana" w:hAnsi="Verdana" w:cs="Times New Roman"/>
          <w:sz w:val="20"/>
          <w:szCs w:val="20"/>
        </w:rPr>
        <w:t>near-universal</w:t>
      </w:r>
      <w:r w:rsidR="002D31AE" w:rsidRPr="00987394">
        <w:rPr>
          <w:rFonts w:ascii="Verdana" w:hAnsi="Verdana" w:cs="Times New Roman"/>
          <w:sz w:val="20"/>
          <w:szCs w:val="20"/>
        </w:rPr>
        <w:t xml:space="preserve"> </w:t>
      </w:r>
      <w:r w:rsidR="00933FE1">
        <w:rPr>
          <w:rFonts w:ascii="Verdana" w:hAnsi="Verdana" w:cs="Times New Roman"/>
          <w:sz w:val="20"/>
          <w:szCs w:val="20"/>
        </w:rPr>
        <w:t>g</w:t>
      </w:r>
      <w:r w:rsidR="002D31AE" w:rsidRPr="00BD25F3">
        <w:rPr>
          <w:rFonts w:ascii="Verdana" w:hAnsi="Verdana" w:cs="Times New Roman"/>
          <w:sz w:val="20"/>
          <w:szCs w:val="20"/>
        </w:rPr>
        <w:t xml:space="preserve">uided </w:t>
      </w:r>
      <w:r w:rsidR="00933FE1">
        <w:rPr>
          <w:rFonts w:ascii="Verdana" w:hAnsi="Verdana" w:cs="Times New Roman"/>
          <w:sz w:val="20"/>
          <w:szCs w:val="20"/>
        </w:rPr>
        <w:t>p</w:t>
      </w:r>
      <w:r w:rsidR="002D31AE" w:rsidRPr="00BD25F3">
        <w:rPr>
          <w:rFonts w:ascii="Verdana" w:hAnsi="Verdana" w:cs="Times New Roman"/>
          <w:sz w:val="20"/>
          <w:szCs w:val="20"/>
        </w:rPr>
        <w:t>athways</w:t>
      </w:r>
      <w:r w:rsidR="002D31AE" w:rsidRPr="00987394">
        <w:rPr>
          <w:rFonts w:ascii="Verdana" w:hAnsi="Verdana" w:cs="Times New Roman"/>
          <w:sz w:val="20"/>
          <w:szCs w:val="20"/>
        </w:rPr>
        <w:t xml:space="preserve"> movement in two-year colleges</w:t>
      </w:r>
      <w:r w:rsidR="00501B5B" w:rsidRPr="00987394">
        <w:rPr>
          <w:rFonts w:ascii="Verdana" w:hAnsi="Verdana" w:cs="Times New Roman"/>
          <w:sz w:val="20"/>
          <w:szCs w:val="20"/>
        </w:rPr>
        <w:t xml:space="preserve"> sustained by </w:t>
      </w:r>
      <w:r w:rsidR="00EE3402" w:rsidRPr="00987394">
        <w:rPr>
          <w:rFonts w:ascii="Verdana" w:hAnsi="Verdana" w:cs="Times New Roman"/>
          <w:sz w:val="20"/>
          <w:szCs w:val="20"/>
        </w:rPr>
        <w:t xml:space="preserve">rising state-mandated reforms. </w:t>
      </w:r>
    </w:p>
    <w:p w14:paraId="287DE390" w14:textId="77777777" w:rsidR="00A623FA" w:rsidRPr="00987394" w:rsidRDefault="00A623FA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56510BDC" w14:textId="1C3C8750" w:rsidR="00976365" w:rsidRPr="00987394" w:rsidRDefault="00B279DA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</w:rPr>
      </w:pPr>
      <w:r w:rsidRPr="00987394">
        <w:rPr>
          <w:rFonts w:ascii="Verdana" w:hAnsi="Verdana" w:cs="Times New Roman"/>
          <w:sz w:val="20"/>
          <w:szCs w:val="20"/>
        </w:rPr>
        <w:t xml:space="preserve">Currently, </w:t>
      </w:r>
      <w:r w:rsidR="000D0266" w:rsidRPr="00987394">
        <w:rPr>
          <w:rFonts w:ascii="Verdana" w:hAnsi="Verdana" w:cs="Times New Roman"/>
          <w:sz w:val="20"/>
          <w:szCs w:val="20"/>
        </w:rPr>
        <w:t xml:space="preserve">many </w:t>
      </w:r>
      <w:r w:rsidR="006B642B" w:rsidRPr="00987394">
        <w:rPr>
          <w:rFonts w:ascii="Verdana" w:hAnsi="Verdana" w:cs="Times New Roman"/>
          <w:sz w:val="20"/>
          <w:szCs w:val="20"/>
        </w:rPr>
        <w:t>two-year</w:t>
      </w:r>
      <w:r w:rsidR="00EE3402" w:rsidRPr="00987394">
        <w:rPr>
          <w:rFonts w:ascii="Verdana" w:hAnsi="Verdana" w:cs="Times New Roman"/>
          <w:sz w:val="20"/>
          <w:szCs w:val="20"/>
        </w:rPr>
        <w:t xml:space="preserve"> colleges</w:t>
      </w:r>
      <w:r w:rsidR="00045F36" w:rsidRPr="00987394">
        <w:rPr>
          <w:rFonts w:ascii="Verdana" w:hAnsi="Verdana" w:cs="Times New Roman"/>
          <w:sz w:val="20"/>
          <w:szCs w:val="20"/>
        </w:rPr>
        <w:t xml:space="preserve"> </w:t>
      </w:r>
      <w:r w:rsidR="0074326C" w:rsidRPr="00987394">
        <w:rPr>
          <w:rFonts w:ascii="Verdana" w:hAnsi="Verdana" w:cs="Times New Roman"/>
          <w:sz w:val="20"/>
          <w:szCs w:val="20"/>
        </w:rPr>
        <w:t>across the U.S.</w:t>
      </w:r>
      <w:r w:rsidR="00045F36" w:rsidRPr="00987394">
        <w:rPr>
          <w:rFonts w:ascii="Verdana" w:hAnsi="Verdana" w:cs="Times New Roman"/>
          <w:sz w:val="20"/>
          <w:szCs w:val="20"/>
        </w:rPr>
        <w:t xml:space="preserve"> </w:t>
      </w:r>
      <w:r w:rsidR="0083396A" w:rsidRPr="00987394">
        <w:rPr>
          <w:rFonts w:ascii="Verdana" w:hAnsi="Verdana" w:cs="Times New Roman"/>
          <w:sz w:val="20"/>
          <w:szCs w:val="20"/>
        </w:rPr>
        <w:t xml:space="preserve">are </w:t>
      </w:r>
      <w:r w:rsidR="00045F36" w:rsidRPr="00987394">
        <w:rPr>
          <w:rFonts w:ascii="Verdana" w:hAnsi="Verdana" w:cs="Times New Roman"/>
          <w:sz w:val="20"/>
          <w:szCs w:val="20"/>
        </w:rPr>
        <w:t>redesigning their pr</w:t>
      </w:r>
      <w:r w:rsidR="00F10888" w:rsidRPr="00987394">
        <w:rPr>
          <w:rFonts w:ascii="Verdana" w:hAnsi="Verdana" w:cs="Times New Roman"/>
          <w:sz w:val="20"/>
          <w:szCs w:val="20"/>
        </w:rPr>
        <w:t>ograms of study</w:t>
      </w:r>
      <w:r w:rsidR="008F7299" w:rsidRPr="00987394">
        <w:rPr>
          <w:rFonts w:ascii="Verdana" w:hAnsi="Verdana" w:cs="Times New Roman"/>
          <w:sz w:val="20"/>
          <w:szCs w:val="20"/>
        </w:rPr>
        <w:t xml:space="preserve">, </w:t>
      </w:r>
      <w:r w:rsidR="0074326C" w:rsidRPr="00987394">
        <w:rPr>
          <w:rFonts w:ascii="Verdana" w:hAnsi="Verdana" w:cs="Times New Roman"/>
          <w:sz w:val="20"/>
          <w:szCs w:val="20"/>
        </w:rPr>
        <w:t>attending to the</w:t>
      </w:r>
      <w:r w:rsidR="00F10888" w:rsidRPr="00987394">
        <w:rPr>
          <w:rFonts w:ascii="Verdana" w:hAnsi="Verdana" w:cs="Times New Roman"/>
          <w:sz w:val="20"/>
          <w:szCs w:val="20"/>
        </w:rPr>
        <w:t xml:space="preserve"> student experience</w:t>
      </w:r>
      <w:r w:rsidR="0074326C" w:rsidRPr="00987394">
        <w:rPr>
          <w:rFonts w:ascii="Verdana" w:hAnsi="Verdana" w:cs="Times New Roman"/>
          <w:sz w:val="20"/>
          <w:szCs w:val="20"/>
        </w:rPr>
        <w:t xml:space="preserve">, </w:t>
      </w:r>
      <w:r w:rsidR="0083396A" w:rsidRPr="00987394">
        <w:rPr>
          <w:rFonts w:ascii="Verdana" w:hAnsi="Verdana" w:cs="Times New Roman"/>
          <w:sz w:val="20"/>
          <w:szCs w:val="20"/>
        </w:rPr>
        <w:t xml:space="preserve">reducing or eliminating remedial courses, </w:t>
      </w:r>
      <w:r w:rsidR="0074326C" w:rsidRPr="00987394">
        <w:rPr>
          <w:rFonts w:ascii="Verdana" w:hAnsi="Verdana" w:cs="Times New Roman"/>
          <w:sz w:val="20"/>
          <w:szCs w:val="20"/>
        </w:rPr>
        <w:t xml:space="preserve">and showing </w:t>
      </w:r>
      <w:r w:rsidR="00987CB2" w:rsidRPr="00987394">
        <w:rPr>
          <w:rFonts w:ascii="Verdana" w:hAnsi="Verdana" w:cs="Times New Roman"/>
          <w:sz w:val="20"/>
          <w:szCs w:val="20"/>
        </w:rPr>
        <w:t>promise in</w:t>
      </w:r>
      <w:r w:rsidR="00CF391F" w:rsidRPr="00987394">
        <w:rPr>
          <w:rFonts w:ascii="Verdana" w:hAnsi="Verdana" w:cs="Times New Roman"/>
          <w:sz w:val="20"/>
          <w:szCs w:val="20"/>
        </w:rPr>
        <w:t xml:space="preserve"> accelerating</w:t>
      </w:r>
      <w:r w:rsidR="00EE3402" w:rsidRPr="00987394">
        <w:rPr>
          <w:rFonts w:ascii="Verdana" w:hAnsi="Verdana" w:cs="Times New Roman"/>
          <w:sz w:val="20"/>
          <w:szCs w:val="20"/>
        </w:rPr>
        <w:t xml:space="preserve"> student</w:t>
      </w:r>
      <w:r w:rsidR="00463BA6" w:rsidRPr="00987394">
        <w:rPr>
          <w:rFonts w:ascii="Verdana" w:hAnsi="Verdana" w:cs="Times New Roman"/>
          <w:sz w:val="20"/>
          <w:szCs w:val="20"/>
        </w:rPr>
        <w:t xml:space="preserve"> achievement</w:t>
      </w:r>
      <w:r w:rsidR="00EE3402" w:rsidRPr="00987394">
        <w:rPr>
          <w:rFonts w:ascii="Verdana" w:hAnsi="Verdana" w:cs="Times New Roman"/>
          <w:sz w:val="20"/>
          <w:szCs w:val="20"/>
        </w:rPr>
        <w:t xml:space="preserve"> and </w:t>
      </w:r>
      <w:r w:rsidR="00CF391F" w:rsidRPr="00987394">
        <w:rPr>
          <w:rFonts w:ascii="Verdana" w:hAnsi="Verdana" w:cs="Times New Roman"/>
          <w:sz w:val="20"/>
          <w:szCs w:val="20"/>
        </w:rPr>
        <w:t xml:space="preserve">closing </w:t>
      </w:r>
      <w:r w:rsidR="00EE3402" w:rsidRPr="00987394">
        <w:rPr>
          <w:rFonts w:ascii="Verdana" w:hAnsi="Verdana" w:cs="Times New Roman"/>
          <w:sz w:val="20"/>
          <w:szCs w:val="20"/>
        </w:rPr>
        <w:t>equit</w:t>
      </w:r>
      <w:r w:rsidR="00CF391F" w:rsidRPr="00987394">
        <w:rPr>
          <w:rFonts w:ascii="Verdana" w:hAnsi="Verdana" w:cs="Times New Roman"/>
          <w:sz w:val="20"/>
          <w:szCs w:val="20"/>
        </w:rPr>
        <w:t>y gaps</w:t>
      </w:r>
      <w:r w:rsidR="00B044DB" w:rsidRPr="00987394">
        <w:rPr>
          <w:rFonts w:ascii="Verdana" w:hAnsi="Verdana" w:cs="Times New Roman"/>
          <w:sz w:val="20"/>
          <w:szCs w:val="20"/>
        </w:rPr>
        <w:t xml:space="preserve"> (</w:t>
      </w:r>
      <w:r w:rsidR="00376728" w:rsidRPr="00987394">
        <w:rPr>
          <w:rFonts w:ascii="Verdana" w:hAnsi="Verdana"/>
          <w:sz w:val="20"/>
          <w:szCs w:val="20"/>
        </w:rPr>
        <w:t>Community College Research Center</w:t>
      </w:r>
      <w:r w:rsidR="009E6A2D" w:rsidRPr="00987394">
        <w:rPr>
          <w:rFonts w:ascii="Verdana" w:hAnsi="Verdana" w:cs="Times New Roman"/>
          <w:sz w:val="20"/>
          <w:szCs w:val="20"/>
        </w:rPr>
        <w:t>, 2021</w:t>
      </w:r>
      <w:r w:rsidR="00B044DB" w:rsidRPr="00987394">
        <w:rPr>
          <w:rFonts w:ascii="Verdana" w:hAnsi="Verdana" w:cs="Times New Roman"/>
          <w:sz w:val="20"/>
          <w:szCs w:val="20"/>
        </w:rPr>
        <w:t>)</w:t>
      </w:r>
      <w:r w:rsidR="00CF391F" w:rsidRPr="00987394">
        <w:rPr>
          <w:rFonts w:ascii="Verdana" w:hAnsi="Verdana" w:cs="Times New Roman"/>
          <w:sz w:val="20"/>
          <w:szCs w:val="20"/>
        </w:rPr>
        <w:t xml:space="preserve">. </w:t>
      </w:r>
      <w:r w:rsidR="000D0266" w:rsidRPr="00987394">
        <w:rPr>
          <w:rFonts w:ascii="Verdana" w:hAnsi="Verdana" w:cs="Times New Roman"/>
          <w:sz w:val="20"/>
          <w:szCs w:val="20"/>
        </w:rPr>
        <w:t>Th</w:t>
      </w:r>
      <w:r w:rsidR="008F7299" w:rsidRPr="00987394">
        <w:rPr>
          <w:rFonts w:ascii="Verdana" w:hAnsi="Verdana" w:cs="Times New Roman"/>
          <w:sz w:val="20"/>
          <w:szCs w:val="20"/>
        </w:rPr>
        <w:t>e guided pathways</w:t>
      </w:r>
      <w:r w:rsidR="00954C33" w:rsidRPr="00987394">
        <w:rPr>
          <w:rFonts w:ascii="Verdana" w:hAnsi="Verdana" w:cs="Times New Roman"/>
          <w:sz w:val="20"/>
          <w:szCs w:val="20"/>
        </w:rPr>
        <w:t xml:space="preserve"> approach</w:t>
      </w:r>
      <w:r w:rsidR="004869F7" w:rsidRPr="00987394">
        <w:rPr>
          <w:rFonts w:ascii="Verdana" w:hAnsi="Verdana" w:cs="Times New Roman"/>
          <w:sz w:val="20"/>
          <w:szCs w:val="20"/>
        </w:rPr>
        <w:t xml:space="preserve"> calls for colleges to reorganize program offerings </w:t>
      </w:r>
      <w:r w:rsidR="00F10888" w:rsidRPr="00987394">
        <w:rPr>
          <w:rFonts w:ascii="Verdana" w:hAnsi="Verdana" w:cs="Times New Roman"/>
          <w:sz w:val="20"/>
          <w:szCs w:val="20"/>
        </w:rPr>
        <w:t xml:space="preserve">into </w:t>
      </w:r>
      <w:r w:rsidR="004869F7" w:rsidRPr="00987394">
        <w:rPr>
          <w:rFonts w:ascii="Verdana" w:hAnsi="Verdana" w:cs="Times New Roman"/>
          <w:sz w:val="20"/>
          <w:szCs w:val="20"/>
        </w:rPr>
        <w:t xml:space="preserve">career clusters rather than individual majors and to provide </w:t>
      </w:r>
      <w:r w:rsidR="00CF391F" w:rsidRPr="00987394">
        <w:rPr>
          <w:rFonts w:ascii="Verdana" w:hAnsi="Verdana" w:cs="Times New Roman"/>
          <w:sz w:val="20"/>
          <w:szCs w:val="20"/>
        </w:rPr>
        <w:t>straightforward</w:t>
      </w:r>
      <w:r w:rsidR="008F7299" w:rsidRPr="00987394">
        <w:rPr>
          <w:rFonts w:ascii="Verdana" w:hAnsi="Verdana" w:cs="Times New Roman"/>
          <w:sz w:val="20"/>
          <w:szCs w:val="20"/>
        </w:rPr>
        <w:t xml:space="preserve"> and highly</w:t>
      </w:r>
      <w:r w:rsidR="0021256E" w:rsidRPr="00987394">
        <w:rPr>
          <w:rFonts w:ascii="Verdana" w:hAnsi="Verdana" w:cs="Times New Roman"/>
          <w:sz w:val="20"/>
          <w:szCs w:val="20"/>
        </w:rPr>
        <w:t xml:space="preserve"> supported </w:t>
      </w:r>
      <w:r w:rsidR="004869F7" w:rsidRPr="00987394">
        <w:rPr>
          <w:rFonts w:ascii="Verdana" w:hAnsi="Verdana" w:cs="Times New Roman"/>
          <w:sz w:val="20"/>
          <w:szCs w:val="20"/>
        </w:rPr>
        <w:t>pathways</w:t>
      </w:r>
      <w:r w:rsidR="00195D5D">
        <w:rPr>
          <w:rFonts w:ascii="Verdana" w:hAnsi="Verdana" w:cs="Times New Roman"/>
          <w:sz w:val="20"/>
          <w:szCs w:val="20"/>
        </w:rPr>
        <w:t xml:space="preserve">, or </w:t>
      </w:r>
      <w:r w:rsidR="00F10888" w:rsidRPr="00BD25F3">
        <w:rPr>
          <w:rFonts w:ascii="Verdana" w:hAnsi="Verdana" w:cs="Times New Roman"/>
          <w:sz w:val="20"/>
          <w:szCs w:val="20"/>
        </w:rPr>
        <w:t>program maps</w:t>
      </w:r>
      <w:r w:rsidR="00195D5D">
        <w:rPr>
          <w:rFonts w:ascii="Verdana" w:hAnsi="Verdana" w:cs="Times New Roman"/>
          <w:sz w:val="20"/>
          <w:szCs w:val="20"/>
        </w:rPr>
        <w:t xml:space="preserve">, </w:t>
      </w:r>
      <w:r w:rsidR="004869F7" w:rsidRPr="00987394">
        <w:rPr>
          <w:rFonts w:ascii="Verdana" w:hAnsi="Verdana" w:cs="Times New Roman"/>
          <w:sz w:val="20"/>
          <w:szCs w:val="20"/>
        </w:rPr>
        <w:t>to graduation, transfer, and employment</w:t>
      </w:r>
      <w:r w:rsidR="0021256E" w:rsidRPr="00987394">
        <w:rPr>
          <w:rFonts w:ascii="Verdana" w:hAnsi="Verdana" w:cs="Times New Roman"/>
          <w:sz w:val="20"/>
          <w:szCs w:val="20"/>
        </w:rPr>
        <w:t xml:space="preserve">. </w:t>
      </w:r>
      <w:r w:rsidR="00D7667C" w:rsidRPr="00987394">
        <w:rPr>
          <w:rFonts w:ascii="Verdana" w:hAnsi="Verdana" w:cs="Times New Roman"/>
          <w:sz w:val="20"/>
          <w:szCs w:val="20"/>
        </w:rPr>
        <w:t xml:space="preserve">Most institutions establish their own program groupings, with such titles as meta-majors, schools, career clusters, or academic and career pathways. </w:t>
      </w:r>
      <w:r w:rsidR="0042115D" w:rsidRPr="00987394">
        <w:rPr>
          <w:rFonts w:ascii="Verdana" w:hAnsi="Verdana" w:cs="Times New Roman"/>
          <w:sz w:val="20"/>
          <w:szCs w:val="20"/>
        </w:rPr>
        <w:t xml:space="preserve">In 2013, the Florida legislature required all 28 institutions in the Florida College System to adopt the following eight meta-majors: </w:t>
      </w:r>
      <w:r w:rsidR="0042115D" w:rsidRPr="00987394">
        <w:rPr>
          <w:rFonts w:ascii="Verdana" w:hAnsi="Verdana" w:cs="Times New Roman"/>
          <w:sz w:val="20"/>
          <w:szCs w:val="20"/>
          <w:shd w:val="clear" w:color="auto" w:fill="FFFFFF"/>
        </w:rPr>
        <w:t>(1) Arts, Humanities, Communication and Design; (2) Business; (3) Education; (4) Health Sciences; (5) Industry/Manufacturing and Construction; (6) Public Safety; (7) Science, Technology, Engineering, and Mathematics; and (8) Social and Behavioral Sciences and Human Services</w:t>
      </w:r>
      <w:r w:rsidR="00411DC5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(Florida College Access Network, 2013)</w:t>
      </w:r>
      <w:r w:rsidR="00062A38" w:rsidRPr="00987394">
        <w:rPr>
          <w:rFonts w:ascii="Verdana" w:hAnsi="Verdana" w:cs="Times New Roman"/>
          <w:sz w:val="20"/>
          <w:szCs w:val="20"/>
          <w:shd w:val="clear" w:color="auto" w:fill="FFFFFF"/>
        </w:rPr>
        <w:t>.</w:t>
      </w:r>
      <w:r w:rsidR="000B24D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976365" w:rsidRPr="00987394">
        <w:rPr>
          <w:rFonts w:ascii="Verdana" w:hAnsi="Verdana" w:cs="Times New Roman"/>
          <w:sz w:val="20"/>
          <w:szCs w:val="20"/>
        </w:rPr>
        <w:t xml:space="preserve">In most institutions undertaking </w:t>
      </w:r>
      <w:r w:rsidR="00CF391F" w:rsidRPr="00987394">
        <w:rPr>
          <w:rFonts w:ascii="Verdana" w:hAnsi="Verdana" w:cs="Times New Roman"/>
          <w:sz w:val="20"/>
          <w:szCs w:val="20"/>
        </w:rPr>
        <w:t>guided pathway</w:t>
      </w:r>
      <w:r w:rsidR="00376728">
        <w:rPr>
          <w:rFonts w:ascii="Verdana" w:hAnsi="Verdana" w:cs="Times New Roman"/>
          <w:sz w:val="20"/>
          <w:szCs w:val="20"/>
        </w:rPr>
        <w:t>s</w:t>
      </w:r>
      <w:r w:rsidR="00CF391F" w:rsidRPr="00987394">
        <w:rPr>
          <w:rFonts w:ascii="Verdana" w:hAnsi="Verdana" w:cs="Times New Roman"/>
          <w:sz w:val="20"/>
          <w:szCs w:val="20"/>
        </w:rPr>
        <w:t xml:space="preserve"> reform</w:t>
      </w:r>
      <w:r w:rsidR="00976365" w:rsidRPr="00987394">
        <w:rPr>
          <w:rFonts w:ascii="Verdana" w:hAnsi="Verdana" w:cs="Times New Roman"/>
          <w:sz w:val="20"/>
          <w:szCs w:val="20"/>
        </w:rPr>
        <w:t xml:space="preserve">, deeply inclusive conversations among faculty, staff, administrators, employers, and students are shaping the structure and direction of the changes underway. </w:t>
      </w:r>
    </w:p>
    <w:p w14:paraId="0D14A09F" w14:textId="77777777" w:rsidR="00A623FA" w:rsidRPr="00987394" w:rsidRDefault="00A623FA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64F57C3A" w14:textId="6C3F9295" w:rsidR="00D65826" w:rsidRPr="00987394" w:rsidRDefault="00AF7CDE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</w:rPr>
      </w:pPr>
      <w:r w:rsidRPr="00987394">
        <w:rPr>
          <w:rFonts w:ascii="Verdana" w:hAnsi="Verdana" w:cs="Times New Roman"/>
          <w:sz w:val="20"/>
          <w:szCs w:val="20"/>
        </w:rPr>
        <w:t>A question left unanswered among</w:t>
      </w:r>
      <w:r w:rsidR="00196B3A" w:rsidRPr="00987394">
        <w:rPr>
          <w:rFonts w:ascii="Verdana" w:hAnsi="Verdana" w:cs="Times New Roman"/>
          <w:sz w:val="20"/>
          <w:szCs w:val="20"/>
        </w:rPr>
        <w:t xml:space="preserve"> </w:t>
      </w:r>
      <w:r w:rsidRPr="00987394">
        <w:rPr>
          <w:rFonts w:ascii="Verdana" w:hAnsi="Verdana" w:cs="Times New Roman"/>
          <w:sz w:val="20"/>
          <w:szCs w:val="20"/>
        </w:rPr>
        <w:t>these</w:t>
      </w:r>
      <w:r w:rsidR="00196B3A" w:rsidRPr="00987394">
        <w:rPr>
          <w:rFonts w:ascii="Verdana" w:hAnsi="Verdana" w:cs="Times New Roman"/>
          <w:sz w:val="20"/>
          <w:szCs w:val="20"/>
        </w:rPr>
        <w:t xml:space="preserve"> curricular</w:t>
      </w:r>
      <w:r w:rsidRPr="00987394">
        <w:rPr>
          <w:rFonts w:ascii="Verdana" w:hAnsi="Verdana" w:cs="Times New Roman"/>
          <w:sz w:val="20"/>
          <w:szCs w:val="20"/>
        </w:rPr>
        <w:t xml:space="preserve"> reforms</w:t>
      </w:r>
      <w:r w:rsidR="00980A13" w:rsidRPr="00987394">
        <w:rPr>
          <w:rFonts w:ascii="Verdana" w:hAnsi="Verdana" w:cs="Times New Roman"/>
          <w:sz w:val="20"/>
          <w:szCs w:val="20"/>
        </w:rPr>
        <w:t xml:space="preserve"> and </w:t>
      </w:r>
      <w:r w:rsidR="00196B3A" w:rsidRPr="00987394">
        <w:rPr>
          <w:rFonts w:ascii="Verdana" w:hAnsi="Verdana" w:cs="Times New Roman"/>
          <w:sz w:val="20"/>
          <w:szCs w:val="20"/>
        </w:rPr>
        <w:t xml:space="preserve">new </w:t>
      </w:r>
      <w:r w:rsidR="004C782B" w:rsidRPr="00987394">
        <w:rPr>
          <w:rFonts w:ascii="Verdana" w:hAnsi="Verdana" w:cs="Times New Roman"/>
          <w:sz w:val="20"/>
          <w:szCs w:val="20"/>
        </w:rPr>
        <w:t xml:space="preserve">program </w:t>
      </w:r>
      <w:r w:rsidR="00196B3A" w:rsidRPr="00987394">
        <w:rPr>
          <w:rFonts w:ascii="Verdana" w:hAnsi="Verdana" w:cs="Times New Roman"/>
          <w:sz w:val="20"/>
          <w:szCs w:val="20"/>
        </w:rPr>
        <w:t>groupings</w:t>
      </w:r>
      <w:r w:rsidRPr="00987394">
        <w:rPr>
          <w:rFonts w:ascii="Verdana" w:hAnsi="Verdana" w:cs="Times New Roman"/>
          <w:sz w:val="20"/>
          <w:szCs w:val="20"/>
        </w:rPr>
        <w:t>, and the one explored in this study,</w:t>
      </w:r>
      <w:r w:rsidR="00AC5090" w:rsidRPr="00987394">
        <w:rPr>
          <w:rFonts w:ascii="Verdana" w:hAnsi="Verdana" w:cs="Times New Roman"/>
          <w:sz w:val="20"/>
          <w:szCs w:val="20"/>
        </w:rPr>
        <w:t xml:space="preserve"> is to what extent there is any consensus in the community college world regarding how institutions organize </w:t>
      </w:r>
      <w:r w:rsidR="001A2AAC" w:rsidRPr="00987394">
        <w:rPr>
          <w:rFonts w:ascii="Verdana" w:hAnsi="Verdana" w:cs="Times New Roman"/>
          <w:sz w:val="20"/>
          <w:szCs w:val="20"/>
        </w:rPr>
        <w:t>subject matter</w:t>
      </w:r>
      <w:r w:rsidR="004137D2" w:rsidRPr="00987394">
        <w:rPr>
          <w:rFonts w:ascii="Verdana" w:hAnsi="Verdana" w:cs="Times New Roman"/>
          <w:sz w:val="20"/>
          <w:szCs w:val="20"/>
        </w:rPr>
        <w:t xml:space="preserve"> </w:t>
      </w:r>
      <w:r w:rsidR="000814F5" w:rsidRPr="00987394">
        <w:rPr>
          <w:rFonts w:ascii="Verdana" w:hAnsi="Verdana" w:cs="Times New Roman"/>
          <w:sz w:val="20"/>
          <w:szCs w:val="20"/>
        </w:rPr>
        <w:t>they deem</w:t>
      </w:r>
      <w:r w:rsidR="004137D2" w:rsidRPr="00987394">
        <w:rPr>
          <w:rFonts w:ascii="Verdana" w:hAnsi="Verdana" w:cs="Times New Roman"/>
          <w:sz w:val="20"/>
          <w:szCs w:val="20"/>
        </w:rPr>
        <w:t xml:space="preserve"> all</w:t>
      </w:r>
      <w:r w:rsidR="00AC5090" w:rsidRPr="00987394">
        <w:rPr>
          <w:rFonts w:ascii="Verdana" w:hAnsi="Verdana" w:cs="Times New Roman"/>
          <w:sz w:val="20"/>
          <w:szCs w:val="20"/>
        </w:rPr>
        <w:t xml:space="preserve"> students should learn. To understand </w:t>
      </w:r>
      <w:r w:rsidR="001A2AAC" w:rsidRPr="00987394">
        <w:rPr>
          <w:rFonts w:ascii="Verdana" w:hAnsi="Verdana" w:cs="Times New Roman"/>
          <w:sz w:val="20"/>
          <w:szCs w:val="20"/>
        </w:rPr>
        <w:t xml:space="preserve">such </w:t>
      </w:r>
      <w:r w:rsidR="00AC5090" w:rsidRPr="00987394">
        <w:rPr>
          <w:rFonts w:ascii="Verdana" w:hAnsi="Verdana" w:cs="Times New Roman"/>
          <w:sz w:val="20"/>
          <w:szCs w:val="20"/>
        </w:rPr>
        <w:t>current</w:t>
      </w:r>
      <w:r w:rsidR="00525DE2" w:rsidRPr="00987394">
        <w:rPr>
          <w:rFonts w:ascii="Verdana" w:hAnsi="Verdana" w:cs="Times New Roman"/>
          <w:sz w:val="20"/>
          <w:szCs w:val="20"/>
        </w:rPr>
        <w:t xml:space="preserve"> </w:t>
      </w:r>
      <w:r w:rsidR="00AC5090" w:rsidRPr="00987394">
        <w:rPr>
          <w:rFonts w:ascii="Verdana" w:hAnsi="Verdana" w:cs="Times New Roman"/>
          <w:sz w:val="20"/>
          <w:szCs w:val="20"/>
        </w:rPr>
        <w:t xml:space="preserve">practices in community colleges, we conducted a national analysis of how two-year colleges </w:t>
      </w:r>
      <w:r w:rsidR="005570F1" w:rsidRPr="00987394">
        <w:rPr>
          <w:rFonts w:ascii="Verdana" w:hAnsi="Verdana" w:cs="Times New Roman"/>
          <w:sz w:val="20"/>
          <w:szCs w:val="20"/>
        </w:rPr>
        <w:t xml:space="preserve">categorize </w:t>
      </w:r>
      <w:r w:rsidR="00BB623B" w:rsidRPr="00987394">
        <w:rPr>
          <w:rFonts w:ascii="Verdana" w:hAnsi="Verdana" w:cs="Times New Roman"/>
          <w:sz w:val="20"/>
          <w:szCs w:val="20"/>
        </w:rPr>
        <w:t>essential</w:t>
      </w:r>
      <w:r w:rsidR="00801F58" w:rsidRPr="00987394">
        <w:rPr>
          <w:rFonts w:ascii="Verdana" w:hAnsi="Verdana" w:cs="Times New Roman"/>
          <w:sz w:val="20"/>
          <w:szCs w:val="20"/>
        </w:rPr>
        <w:t xml:space="preserve"> </w:t>
      </w:r>
      <w:r w:rsidR="00AC5090" w:rsidRPr="00987394">
        <w:rPr>
          <w:rFonts w:ascii="Verdana" w:hAnsi="Verdana" w:cs="Times New Roman"/>
          <w:sz w:val="20"/>
          <w:szCs w:val="20"/>
        </w:rPr>
        <w:t>knowledge.</w:t>
      </w:r>
      <w:r w:rsidR="000B24D4">
        <w:rPr>
          <w:rFonts w:ascii="Verdana" w:hAnsi="Verdana" w:cs="Times New Roman"/>
          <w:sz w:val="20"/>
          <w:szCs w:val="20"/>
        </w:rPr>
        <w:t xml:space="preserve"> </w:t>
      </w:r>
    </w:p>
    <w:p w14:paraId="41B55C68" w14:textId="77777777" w:rsidR="00A623FA" w:rsidRPr="00987394" w:rsidRDefault="00A623FA" w:rsidP="00A623FA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14:paraId="23AB9A0B" w14:textId="6B62A087" w:rsidR="004D43C5" w:rsidRPr="00987394" w:rsidRDefault="004D43C5" w:rsidP="00376728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987394">
        <w:rPr>
          <w:rFonts w:ascii="Verdana" w:hAnsi="Verdana" w:cs="Times New Roman"/>
          <w:b/>
          <w:bCs/>
          <w:sz w:val="20"/>
          <w:szCs w:val="20"/>
        </w:rPr>
        <w:t>Methodology</w:t>
      </w:r>
    </w:p>
    <w:p w14:paraId="4DDF6D73" w14:textId="77777777" w:rsidR="00A623FA" w:rsidRPr="00987394" w:rsidRDefault="00A623FA" w:rsidP="00A623FA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09416D31" w14:textId="444D3980" w:rsidR="004D43C5" w:rsidRDefault="00ED1D80" w:rsidP="00150A8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The</w:t>
      </w:r>
      <w:r w:rsidR="004D43C5" w:rsidRPr="00987394">
        <w:rPr>
          <w:rFonts w:ascii="Verdana" w:hAnsi="Verdana" w:cs="Times New Roman"/>
          <w:sz w:val="20"/>
          <w:szCs w:val="20"/>
        </w:rPr>
        <w:t xml:space="preserve"> study </w:t>
      </w:r>
      <w:r>
        <w:rPr>
          <w:rFonts w:ascii="Verdana" w:hAnsi="Verdana" w:cs="Times New Roman"/>
          <w:sz w:val="20"/>
          <w:szCs w:val="20"/>
        </w:rPr>
        <w:t>entailed a</w:t>
      </w:r>
      <w:r w:rsidR="004D43C5" w:rsidRPr="00987394">
        <w:rPr>
          <w:rFonts w:ascii="Verdana" w:hAnsi="Verdana" w:cs="Times New Roman"/>
          <w:sz w:val="20"/>
          <w:szCs w:val="20"/>
        </w:rPr>
        <w:t xml:space="preserve"> review </w:t>
      </w:r>
      <w:r>
        <w:rPr>
          <w:rFonts w:ascii="Verdana" w:hAnsi="Verdana" w:cs="Times New Roman"/>
          <w:sz w:val="20"/>
          <w:szCs w:val="20"/>
        </w:rPr>
        <w:t xml:space="preserve">of </w:t>
      </w:r>
      <w:r w:rsidR="00AC5090" w:rsidRPr="00987394">
        <w:rPr>
          <w:rFonts w:ascii="Verdana" w:hAnsi="Verdana" w:cs="Times New Roman"/>
          <w:sz w:val="20"/>
          <w:szCs w:val="20"/>
        </w:rPr>
        <w:t xml:space="preserve">how community colleges organize </w:t>
      </w:r>
      <w:r w:rsidR="00C52623" w:rsidRPr="00987394">
        <w:rPr>
          <w:rFonts w:ascii="Verdana" w:hAnsi="Verdana" w:cs="Times New Roman"/>
          <w:sz w:val="20"/>
          <w:szCs w:val="20"/>
        </w:rPr>
        <w:t xml:space="preserve">their </w:t>
      </w:r>
      <w:r w:rsidR="00EB5E25">
        <w:rPr>
          <w:rFonts w:ascii="Verdana" w:hAnsi="Verdana" w:cs="Times New Roman"/>
          <w:sz w:val="20"/>
          <w:szCs w:val="20"/>
        </w:rPr>
        <w:t>GE</w:t>
      </w:r>
      <w:r w:rsidR="0069476D" w:rsidRPr="00987394">
        <w:rPr>
          <w:rFonts w:ascii="Verdana" w:hAnsi="Verdana" w:cs="Times New Roman"/>
          <w:sz w:val="20"/>
          <w:szCs w:val="20"/>
        </w:rPr>
        <w:t xml:space="preserve"> </w:t>
      </w:r>
      <w:r w:rsidR="00C52623" w:rsidRPr="00987394">
        <w:rPr>
          <w:rFonts w:ascii="Verdana" w:hAnsi="Verdana" w:cs="Times New Roman"/>
          <w:sz w:val="20"/>
          <w:szCs w:val="20"/>
        </w:rPr>
        <w:t xml:space="preserve">requirements </w:t>
      </w:r>
      <w:r w:rsidR="004D43C5" w:rsidRPr="00987394">
        <w:rPr>
          <w:rFonts w:ascii="Verdana" w:hAnsi="Verdana" w:cs="Times New Roman"/>
          <w:sz w:val="20"/>
          <w:szCs w:val="20"/>
        </w:rPr>
        <w:t xml:space="preserve">from the most recent catalogs of a </w:t>
      </w:r>
      <w:r w:rsidR="003767B9" w:rsidRPr="00987394">
        <w:rPr>
          <w:rFonts w:ascii="Verdana" w:hAnsi="Verdana" w:cs="Times New Roman"/>
          <w:sz w:val="20"/>
          <w:szCs w:val="20"/>
        </w:rPr>
        <w:t xml:space="preserve">random </w:t>
      </w:r>
      <w:r w:rsidR="004D43C5" w:rsidRPr="00987394">
        <w:rPr>
          <w:rFonts w:ascii="Verdana" w:hAnsi="Verdana" w:cs="Times New Roman"/>
          <w:sz w:val="20"/>
          <w:szCs w:val="20"/>
        </w:rPr>
        <w:t>sample of 30 community colleges and</w:t>
      </w:r>
      <w:r w:rsidR="008C5412" w:rsidRPr="00987394">
        <w:rPr>
          <w:rFonts w:ascii="Verdana" w:hAnsi="Verdana" w:cs="Times New Roman"/>
          <w:sz w:val="20"/>
          <w:szCs w:val="20"/>
        </w:rPr>
        <w:t xml:space="preserve"> </w:t>
      </w:r>
      <w:r w:rsidR="003767B9" w:rsidRPr="00987394">
        <w:rPr>
          <w:rFonts w:ascii="Verdana" w:hAnsi="Verdana" w:cs="Times New Roman"/>
          <w:sz w:val="20"/>
          <w:szCs w:val="20"/>
        </w:rPr>
        <w:t>examin</w:t>
      </w:r>
      <w:r>
        <w:rPr>
          <w:rFonts w:ascii="Verdana" w:hAnsi="Verdana" w:cs="Times New Roman"/>
          <w:sz w:val="20"/>
          <w:szCs w:val="20"/>
        </w:rPr>
        <w:t>ation of</w:t>
      </w:r>
      <w:r w:rsidR="004D43C5" w:rsidRPr="00987394">
        <w:rPr>
          <w:rFonts w:ascii="Verdana" w:hAnsi="Verdana" w:cs="Times New Roman"/>
          <w:sz w:val="20"/>
          <w:szCs w:val="20"/>
        </w:rPr>
        <w:t xml:space="preserve"> these data using thematic analysis and descriptive statistics. The population from which </w:t>
      </w:r>
      <w:r w:rsidR="008C5412" w:rsidRPr="00987394">
        <w:rPr>
          <w:rFonts w:ascii="Verdana" w:hAnsi="Verdana" w:cs="Times New Roman"/>
          <w:sz w:val="20"/>
          <w:szCs w:val="20"/>
        </w:rPr>
        <w:t xml:space="preserve">we </w:t>
      </w:r>
      <w:r w:rsidR="003767B9" w:rsidRPr="00987394">
        <w:rPr>
          <w:rFonts w:ascii="Verdana" w:hAnsi="Verdana" w:cs="Times New Roman"/>
          <w:sz w:val="20"/>
          <w:szCs w:val="20"/>
        </w:rPr>
        <w:t>sampled</w:t>
      </w:r>
      <w:r w:rsidR="004D43C5" w:rsidRPr="00987394">
        <w:rPr>
          <w:rFonts w:ascii="Verdana" w:hAnsi="Verdana" w:cs="Times New Roman"/>
          <w:sz w:val="20"/>
          <w:szCs w:val="20"/>
        </w:rPr>
        <w:t xml:space="preserve"> was the listing of U.S. public two-year, associate degree</w:t>
      </w:r>
      <w:r w:rsidR="00182F36">
        <w:rPr>
          <w:rFonts w:ascii="Verdana" w:hAnsi="Verdana" w:cs="Times New Roman"/>
          <w:sz w:val="20"/>
          <w:szCs w:val="20"/>
        </w:rPr>
        <w:t>-</w:t>
      </w:r>
      <w:r w:rsidR="004D43C5" w:rsidRPr="00987394">
        <w:rPr>
          <w:rFonts w:ascii="Verdana" w:hAnsi="Verdana" w:cs="Times New Roman"/>
          <w:sz w:val="20"/>
          <w:szCs w:val="20"/>
        </w:rPr>
        <w:t xml:space="preserve">granting colleges (excluding specialized institutions designated as technical, tribal, and special focus institutions), identified by the Carnegie Classification of Institutions of Higher Education (CCIHE). </w:t>
      </w:r>
      <w:r w:rsidR="00BF2D1D" w:rsidRPr="00987394">
        <w:rPr>
          <w:rFonts w:ascii="Verdana" w:hAnsi="Verdana" w:cs="Times New Roman"/>
          <w:sz w:val="20"/>
          <w:szCs w:val="20"/>
        </w:rPr>
        <w:t xml:space="preserve">We looked at subgroups of two-year colleges categorized by CCIHE as </w:t>
      </w:r>
      <w:r w:rsidR="004D43C5" w:rsidRPr="00987394">
        <w:rPr>
          <w:rFonts w:ascii="Verdana" w:hAnsi="Verdana" w:cs="Times New Roman"/>
          <w:sz w:val="20"/>
          <w:szCs w:val="20"/>
        </w:rPr>
        <w:t>large/very large (FTE enrollment 5,000 or greater), medium (2,000-4,999 FTE), and small/very small (1,999 or fewer FTE).</w:t>
      </w:r>
    </w:p>
    <w:p w14:paraId="5829A8A7" w14:textId="77777777" w:rsidR="00A623FA" w:rsidRPr="00987394" w:rsidRDefault="00A623FA" w:rsidP="00A623FA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2E06B86F" w14:textId="6A5B4918" w:rsidR="004D43C5" w:rsidRPr="00987394" w:rsidRDefault="004D43C5" w:rsidP="00A623FA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987394">
        <w:rPr>
          <w:rFonts w:ascii="Verdana" w:hAnsi="Verdana" w:cs="Times New Roman"/>
          <w:sz w:val="20"/>
          <w:szCs w:val="20"/>
        </w:rPr>
        <w:t xml:space="preserve">Table 1 displays data </w:t>
      </w:r>
      <w:r w:rsidR="00E9204D" w:rsidRPr="00987394">
        <w:rPr>
          <w:rFonts w:ascii="Verdana" w:hAnsi="Verdana" w:cs="Times New Roman"/>
          <w:sz w:val="20"/>
          <w:szCs w:val="20"/>
        </w:rPr>
        <w:t>showing</w:t>
      </w:r>
      <w:r w:rsidRPr="00987394">
        <w:rPr>
          <w:rFonts w:ascii="Verdana" w:hAnsi="Verdana" w:cs="Times New Roman"/>
          <w:sz w:val="20"/>
          <w:szCs w:val="20"/>
        </w:rPr>
        <w:t xml:space="preserve"> the relationship between </w:t>
      </w:r>
      <w:r w:rsidR="00DC3D47" w:rsidRPr="00987394">
        <w:rPr>
          <w:rFonts w:ascii="Verdana" w:hAnsi="Verdana" w:cs="Times New Roman"/>
          <w:sz w:val="20"/>
          <w:szCs w:val="20"/>
        </w:rPr>
        <w:t xml:space="preserve">the percentage of large, medium, and small </w:t>
      </w:r>
      <w:r w:rsidRPr="00987394">
        <w:rPr>
          <w:rFonts w:ascii="Verdana" w:hAnsi="Verdana" w:cs="Times New Roman"/>
          <w:sz w:val="20"/>
          <w:szCs w:val="20"/>
        </w:rPr>
        <w:t>two-year college</w:t>
      </w:r>
      <w:r w:rsidR="00DC3D47" w:rsidRPr="00987394">
        <w:rPr>
          <w:rFonts w:ascii="Verdana" w:hAnsi="Verdana" w:cs="Times New Roman"/>
          <w:sz w:val="20"/>
          <w:szCs w:val="20"/>
        </w:rPr>
        <w:t xml:space="preserve">s </w:t>
      </w:r>
      <w:r w:rsidRPr="00987394">
        <w:rPr>
          <w:rFonts w:ascii="Verdana" w:hAnsi="Verdana" w:cs="Times New Roman"/>
          <w:sz w:val="20"/>
          <w:szCs w:val="20"/>
        </w:rPr>
        <w:t xml:space="preserve">and the share of students </w:t>
      </w:r>
      <w:r w:rsidR="000E005D" w:rsidRPr="00987394">
        <w:rPr>
          <w:rFonts w:ascii="Verdana" w:hAnsi="Verdana" w:cs="Times New Roman"/>
          <w:sz w:val="20"/>
          <w:szCs w:val="20"/>
        </w:rPr>
        <w:t xml:space="preserve">across the country </w:t>
      </w:r>
      <w:r w:rsidRPr="00987394">
        <w:rPr>
          <w:rFonts w:ascii="Verdana" w:hAnsi="Verdana" w:cs="Times New Roman"/>
          <w:sz w:val="20"/>
          <w:szCs w:val="20"/>
        </w:rPr>
        <w:t xml:space="preserve">each group </w:t>
      </w:r>
      <w:r w:rsidRPr="00987394">
        <w:rPr>
          <w:rFonts w:ascii="Verdana" w:hAnsi="Verdana" w:cs="Times New Roman"/>
          <w:sz w:val="20"/>
          <w:szCs w:val="20"/>
        </w:rPr>
        <w:lastRenderedPageBreak/>
        <w:t>serves</w:t>
      </w:r>
      <w:r w:rsidR="00C705E0">
        <w:rPr>
          <w:rFonts w:ascii="Verdana" w:hAnsi="Verdana" w:cs="Times New Roman"/>
          <w:sz w:val="20"/>
          <w:szCs w:val="20"/>
        </w:rPr>
        <w:t>, based on data from C</w:t>
      </w:r>
      <w:r w:rsidR="00182F36">
        <w:rPr>
          <w:rFonts w:ascii="Verdana" w:hAnsi="Verdana" w:cs="Times New Roman"/>
          <w:sz w:val="20"/>
          <w:szCs w:val="20"/>
        </w:rPr>
        <w:t>CIHE</w:t>
      </w:r>
      <w:r w:rsidR="00C705E0">
        <w:rPr>
          <w:rFonts w:ascii="Verdana" w:hAnsi="Verdana" w:cs="Times New Roman"/>
          <w:sz w:val="20"/>
          <w:szCs w:val="20"/>
        </w:rPr>
        <w:t xml:space="preserve"> (2018)</w:t>
      </w:r>
      <w:r w:rsidR="00010534">
        <w:rPr>
          <w:rFonts w:ascii="Verdana" w:hAnsi="Verdana" w:cs="Times New Roman"/>
          <w:sz w:val="20"/>
          <w:szCs w:val="20"/>
        </w:rPr>
        <w:t>.</w:t>
      </w:r>
      <w:r w:rsidRPr="00987394">
        <w:rPr>
          <w:rFonts w:ascii="Verdana" w:hAnsi="Verdana" w:cs="Times New Roman"/>
          <w:sz w:val="20"/>
          <w:szCs w:val="20"/>
        </w:rPr>
        <w:t xml:space="preserve"> By size, 14</w:t>
      </w:r>
      <w:r w:rsidR="00F570B9">
        <w:rPr>
          <w:rFonts w:ascii="Verdana" w:hAnsi="Verdana" w:cs="Times New Roman"/>
          <w:sz w:val="20"/>
          <w:szCs w:val="20"/>
        </w:rPr>
        <w:t xml:space="preserve"> percent</w:t>
      </w:r>
      <w:r w:rsidRPr="00987394">
        <w:rPr>
          <w:rFonts w:ascii="Verdana" w:hAnsi="Verdana" w:cs="Times New Roman"/>
          <w:sz w:val="20"/>
          <w:szCs w:val="20"/>
        </w:rPr>
        <w:t xml:space="preserve"> of U.S. two-year colleges </w:t>
      </w:r>
      <w:r w:rsidR="00A52E4D" w:rsidRPr="00987394">
        <w:rPr>
          <w:rFonts w:ascii="Verdana" w:hAnsi="Verdana" w:cs="Times New Roman"/>
          <w:sz w:val="20"/>
          <w:szCs w:val="20"/>
        </w:rPr>
        <w:t>were</w:t>
      </w:r>
      <w:r w:rsidRPr="00987394">
        <w:rPr>
          <w:rFonts w:ascii="Verdana" w:hAnsi="Verdana" w:cs="Times New Roman"/>
          <w:sz w:val="20"/>
          <w:szCs w:val="20"/>
        </w:rPr>
        <w:t xml:space="preserve"> </w:t>
      </w:r>
      <w:r w:rsidR="000E005D" w:rsidRPr="00987394">
        <w:rPr>
          <w:rFonts w:ascii="Verdana" w:hAnsi="Verdana" w:cs="Times New Roman"/>
          <w:sz w:val="20"/>
          <w:szCs w:val="20"/>
        </w:rPr>
        <w:t xml:space="preserve">classified as </w:t>
      </w:r>
      <w:r w:rsidRPr="00987394">
        <w:rPr>
          <w:rFonts w:ascii="Verdana" w:hAnsi="Verdana" w:cs="Times New Roman"/>
          <w:sz w:val="20"/>
          <w:szCs w:val="20"/>
        </w:rPr>
        <w:t>large</w:t>
      </w:r>
      <w:r w:rsidR="000E005D" w:rsidRPr="00987394">
        <w:rPr>
          <w:rFonts w:ascii="Verdana" w:hAnsi="Verdana" w:cs="Times New Roman"/>
          <w:sz w:val="20"/>
          <w:szCs w:val="20"/>
        </w:rPr>
        <w:t xml:space="preserve"> or </w:t>
      </w:r>
      <w:r w:rsidRPr="00987394">
        <w:rPr>
          <w:rFonts w:ascii="Verdana" w:hAnsi="Verdana" w:cs="Times New Roman"/>
          <w:sz w:val="20"/>
          <w:szCs w:val="20"/>
        </w:rPr>
        <w:t>very large, 21</w:t>
      </w:r>
      <w:r w:rsidR="00F570B9">
        <w:rPr>
          <w:rFonts w:ascii="Verdana" w:hAnsi="Verdana" w:cs="Times New Roman"/>
          <w:sz w:val="20"/>
          <w:szCs w:val="20"/>
        </w:rPr>
        <w:t xml:space="preserve"> percent</w:t>
      </w:r>
      <w:r w:rsidRPr="00987394">
        <w:rPr>
          <w:rFonts w:ascii="Verdana" w:hAnsi="Verdana" w:cs="Times New Roman"/>
          <w:sz w:val="20"/>
          <w:szCs w:val="20"/>
        </w:rPr>
        <w:t xml:space="preserve"> medium, and 65</w:t>
      </w:r>
      <w:r w:rsidR="00F570B9">
        <w:rPr>
          <w:rFonts w:ascii="Verdana" w:hAnsi="Verdana" w:cs="Times New Roman"/>
          <w:sz w:val="20"/>
          <w:szCs w:val="20"/>
        </w:rPr>
        <w:t xml:space="preserve"> percent</w:t>
      </w:r>
      <w:r w:rsidRPr="00987394">
        <w:rPr>
          <w:rFonts w:ascii="Verdana" w:hAnsi="Verdana" w:cs="Times New Roman"/>
          <w:sz w:val="20"/>
          <w:szCs w:val="20"/>
        </w:rPr>
        <w:t xml:space="preserve"> small</w:t>
      </w:r>
      <w:r w:rsidR="000E005D" w:rsidRPr="00987394">
        <w:rPr>
          <w:rFonts w:ascii="Verdana" w:hAnsi="Verdana" w:cs="Times New Roman"/>
          <w:sz w:val="20"/>
          <w:szCs w:val="20"/>
        </w:rPr>
        <w:t xml:space="preserve"> or </w:t>
      </w:r>
      <w:r w:rsidRPr="00987394">
        <w:rPr>
          <w:rFonts w:ascii="Verdana" w:hAnsi="Verdana" w:cs="Times New Roman"/>
          <w:sz w:val="20"/>
          <w:szCs w:val="20"/>
        </w:rPr>
        <w:t xml:space="preserve">very small. These proportions reverse </w:t>
      </w:r>
      <w:r w:rsidR="00DC3D47" w:rsidRPr="00987394">
        <w:rPr>
          <w:rFonts w:ascii="Verdana" w:hAnsi="Verdana" w:cs="Times New Roman"/>
          <w:sz w:val="20"/>
          <w:szCs w:val="20"/>
        </w:rPr>
        <w:t>in terms of</w:t>
      </w:r>
      <w:r w:rsidRPr="00987394">
        <w:rPr>
          <w:rFonts w:ascii="Verdana" w:hAnsi="Verdana" w:cs="Times New Roman"/>
          <w:sz w:val="20"/>
          <w:szCs w:val="20"/>
        </w:rPr>
        <w:t xml:space="preserve"> </w:t>
      </w:r>
      <w:r w:rsidR="000E005D" w:rsidRPr="00987394">
        <w:rPr>
          <w:rFonts w:ascii="Verdana" w:hAnsi="Verdana" w:cs="Times New Roman"/>
          <w:sz w:val="20"/>
          <w:szCs w:val="20"/>
        </w:rPr>
        <w:t xml:space="preserve">how many </w:t>
      </w:r>
      <w:r w:rsidRPr="00987394">
        <w:rPr>
          <w:rFonts w:ascii="Verdana" w:hAnsi="Verdana" w:cs="Times New Roman"/>
          <w:sz w:val="20"/>
          <w:szCs w:val="20"/>
        </w:rPr>
        <w:t xml:space="preserve">students each group </w:t>
      </w:r>
      <w:r w:rsidR="000E005D" w:rsidRPr="00987394">
        <w:rPr>
          <w:rFonts w:ascii="Verdana" w:hAnsi="Verdana" w:cs="Times New Roman"/>
          <w:sz w:val="20"/>
          <w:szCs w:val="20"/>
        </w:rPr>
        <w:t>enrolled</w:t>
      </w:r>
      <w:r w:rsidRPr="00987394">
        <w:rPr>
          <w:rFonts w:ascii="Verdana" w:hAnsi="Verdana" w:cs="Times New Roman"/>
          <w:sz w:val="20"/>
          <w:szCs w:val="20"/>
        </w:rPr>
        <w:t xml:space="preserve">. </w:t>
      </w:r>
      <w:r w:rsidR="006377BC" w:rsidRPr="00987394">
        <w:rPr>
          <w:rFonts w:ascii="Verdana" w:hAnsi="Verdana" w:cs="Times New Roman"/>
          <w:sz w:val="20"/>
          <w:szCs w:val="20"/>
        </w:rPr>
        <w:t>Only</w:t>
      </w:r>
      <w:r w:rsidR="00462001" w:rsidRPr="00987394">
        <w:rPr>
          <w:rFonts w:ascii="Verdana" w:hAnsi="Verdana" w:cs="Times New Roman"/>
          <w:sz w:val="20"/>
          <w:szCs w:val="20"/>
        </w:rPr>
        <w:t xml:space="preserve"> o</w:t>
      </w:r>
      <w:r w:rsidRPr="00987394">
        <w:rPr>
          <w:rFonts w:ascii="Verdana" w:hAnsi="Verdana" w:cs="Times New Roman"/>
          <w:sz w:val="20"/>
          <w:szCs w:val="20"/>
        </w:rPr>
        <w:t xml:space="preserve">ne in seven </w:t>
      </w:r>
      <w:r w:rsidR="00ED0F9C" w:rsidRPr="00987394">
        <w:rPr>
          <w:rFonts w:ascii="Verdana" w:hAnsi="Verdana" w:cs="Times New Roman"/>
          <w:sz w:val="20"/>
          <w:szCs w:val="20"/>
        </w:rPr>
        <w:t>institutions</w:t>
      </w:r>
      <w:r w:rsidRPr="00987394">
        <w:rPr>
          <w:rFonts w:ascii="Verdana" w:hAnsi="Verdana" w:cs="Times New Roman"/>
          <w:sz w:val="20"/>
          <w:szCs w:val="20"/>
        </w:rPr>
        <w:t xml:space="preserve"> </w:t>
      </w:r>
      <w:r w:rsidR="00B47850" w:rsidRPr="00987394">
        <w:rPr>
          <w:rFonts w:ascii="Verdana" w:hAnsi="Verdana" w:cs="Times New Roman"/>
          <w:sz w:val="20"/>
          <w:szCs w:val="20"/>
        </w:rPr>
        <w:t>were</w:t>
      </w:r>
      <w:r w:rsidR="00462001" w:rsidRPr="00987394">
        <w:rPr>
          <w:rFonts w:ascii="Verdana" w:hAnsi="Verdana" w:cs="Times New Roman"/>
          <w:sz w:val="20"/>
          <w:szCs w:val="20"/>
        </w:rPr>
        <w:t xml:space="preserve"> classified as </w:t>
      </w:r>
      <w:r w:rsidRPr="00987394">
        <w:rPr>
          <w:rFonts w:ascii="Verdana" w:hAnsi="Verdana" w:cs="Times New Roman"/>
          <w:sz w:val="20"/>
          <w:szCs w:val="20"/>
        </w:rPr>
        <w:t>large</w:t>
      </w:r>
      <w:r w:rsidR="00462001" w:rsidRPr="00987394">
        <w:rPr>
          <w:rFonts w:ascii="Verdana" w:hAnsi="Verdana" w:cs="Times New Roman"/>
          <w:sz w:val="20"/>
          <w:szCs w:val="20"/>
        </w:rPr>
        <w:t xml:space="preserve"> or </w:t>
      </w:r>
      <w:r w:rsidRPr="00987394">
        <w:rPr>
          <w:rFonts w:ascii="Verdana" w:hAnsi="Verdana" w:cs="Times New Roman"/>
          <w:sz w:val="20"/>
          <w:szCs w:val="20"/>
        </w:rPr>
        <w:t>very large colleges</w:t>
      </w:r>
      <w:r w:rsidR="00462001" w:rsidRPr="00987394">
        <w:rPr>
          <w:rFonts w:ascii="Verdana" w:hAnsi="Verdana" w:cs="Times New Roman"/>
          <w:sz w:val="20"/>
          <w:szCs w:val="20"/>
        </w:rPr>
        <w:t xml:space="preserve">, </w:t>
      </w:r>
      <w:r w:rsidR="006377BC" w:rsidRPr="00987394">
        <w:rPr>
          <w:rFonts w:ascii="Verdana" w:hAnsi="Verdana" w:cs="Times New Roman"/>
          <w:sz w:val="20"/>
          <w:szCs w:val="20"/>
        </w:rPr>
        <w:t xml:space="preserve">but </w:t>
      </w:r>
      <w:r w:rsidR="00462001" w:rsidRPr="00987394">
        <w:rPr>
          <w:rFonts w:ascii="Verdana" w:hAnsi="Verdana" w:cs="Times New Roman"/>
          <w:sz w:val="20"/>
          <w:szCs w:val="20"/>
        </w:rPr>
        <w:t>they</w:t>
      </w:r>
      <w:r w:rsidRPr="00987394">
        <w:rPr>
          <w:rFonts w:ascii="Verdana" w:hAnsi="Verdana" w:cs="Times New Roman"/>
          <w:sz w:val="20"/>
          <w:szCs w:val="20"/>
        </w:rPr>
        <w:t xml:space="preserve"> enrolled more than half of all community college student</w:t>
      </w:r>
      <w:r w:rsidR="006377BC" w:rsidRPr="00987394">
        <w:rPr>
          <w:rFonts w:ascii="Verdana" w:hAnsi="Verdana" w:cs="Times New Roman"/>
          <w:sz w:val="20"/>
          <w:szCs w:val="20"/>
        </w:rPr>
        <w:t>s across the country. In contrast, s</w:t>
      </w:r>
      <w:r w:rsidRPr="00987394">
        <w:rPr>
          <w:rFonts w:ascii="Verdana" w:hAnsi="Verdana" w:cs="Times New Roman"/>
          <w:sz w:val="20"/>
          <w:szCs w:val="20"/>
        </w:rPr>
        <w:t xml:space="preserve">mall/very small colleges </w:t>
      </w:r>
      <w:r w:rsidR="006377BC" w:rsidRPr="00987394">
        <w:rPr>
          <w:rFonts w:ascii="Verdana" w:hAnsi="Verdana" w:cs="Times New Roman"/>
          <w:sz w:val="20"/>
          <w:szCs w:val="20"/>
        </w:rPr>
        <w:t xml:space="preserve">constituted nearly two-thirds of all two-year colleges but </w:t>
      </w:r>
      <w:r w:rsidRPr="00987394">
        <w:rPr>
          <w:rFonts w:ascii="Verdana" w:hAnsi="Verdana" w:cs="Times New Roman"/>
          <w:sz w:val="20"/>
          <w:szCs w:val="20"/>
        </w:rPr>
        <w:t>enrolled only 15</w:t>
      </w:r>
      <w:r w:rsidR="00F570B9">
        <w:rPr>
          <w:rFonts w:ascii="Verdana" w:hAnsi="Verdana" w:cs="Times New Roman"/>
          <w:sz w:val="20"/>
          <w:szCs w:val="20"/>
        </w:rPr>
        <w:t xml:space="preserve"> percent</w:t>
      </w:r>
      <w:r w:rsidRPr="00987394">
        <w:rPr>
          <w:rFonts w:ascii="Verdana" w:hAnsi="Verdana" w:cs="Times New Roman"/>
          <w:sz w:val="20"/>
          <w:szCs w:val="20"/>
        </w:rPr>
        <w:t xml:space="preserve"> of the student population</w:t>
      </w:r>
      <w:r w:rsidR="006377BC" w:rsidRPr="00987394">
        <w:rPr>
          <w:rFonts w:ascii="Verdana" w:hAnsi="Verdana" w:cs="Times New Roman"/>
          <w:sz w:val="20"/>
          <w:szCs w:val="20"/>
        </w:rPr>
        <w:t xml:space="preserve">. </w:t>
      </w:r>
      <w:r w:rsidR="00462001" w:rsidRPr="00987394">
        <w:rPr>
          <w:rFonts w:ascii="Verdana" w:hAnsi="Verdana" w:cs="Times New Roman"/>
          <w:sz w:val="20"/>
          <w:szCs w:val="20"/>
        </w:rPr>
        <w:t xml:space="preserve">Simply put, </w:t>
      </w:r>
      <w:r w:rsidRPr="00987394">
        <w:rPr>
          <w:rFonts w:ascii="Verdana" w:hAnsi="Verdana" w:cs="Times New Roman"/>
          <w:sz w:val="20"/>
          <w:szCs w:val="20"/>
        </w:rPr>
        <w:t>larg</w:t>
      </w:r>
      <w:r w:rsidR="00F2622A" w:rsidRPr="00987394">
        <w:rPr>
          <w:rFonts w:ascii="Verdana" w:hAnsi="Verdana" w:cs="Times New Roman"/>
          <w:sz w:val="20"/>
          <w:szCs w:val="20"/>
        </w:rPr>
        <w:t>e</w:t>
      </w:r>
      <w:r w:rsidRPr="00987394">
        <w:rPr>
          <w:rFonts w:ascii="Verdana" w:hAnsi="Verdana" w:cs="Times New Roman"/>
          <w:sz w:val="20"/>
          <w:szCs w:val="20"/>
        </w:rPr>
        <w:t xml:space="preserve"> community colleges across the country serve the bulk of</w:t>
      </w:r>
      <w:r w:rsidR="00ED0F9C" w:rsidRPr="00987394">
        <w:rPr>
          <w:rFonts w:ascii="Verdana" w:hAnsi="Verdana" w:cs="Times New Roman"/>
          <w:sz w:val="20"/>
          <w:szCs w:val="20"/>
        </w:rPr>
        <w:t xml:space="preserve"> two-year college</w:t>
      </w:r>
      <w:r w:rsidRPr="00987394">
        <w:rPr>
          <w:rFonts w:ascii="Verdana" w:hAnsi="Verdana" w:cs="Times New Roman"/>
          <w:sz w:val="20"/>
          <w:szCs w:val="20"/>
        </w:rPr>
        <w:t xml:space="preserve"> students</w:t>
      </w:r>
      <w:r w:rsidR="00F2622A" w:rsidRPr="00987394">
        <w:rPr>
          <w:rFonts w:ascii="Verdana" w:hAnsi="Verdana" w:cs="Times New Roman"/>
          <w:sz w:val="20"/>
          <w:szCs w:val="20"/>
        </w:rPr>
        <w:t>.</w:t>
      </w:r>
      <w:r w:rsidR="000B24D4">
        <w:rPr>
          <w:rFonts w:ascii="Verdana" w:hAnsi="Verdana" w:cs="Times New Roman"/>
          <w:b/>
          <w:bCs/>
          <w:sz w:val="20"/>
          <w:szCs w:val="20"/>
        </w:rPr>
        <w:t xml:space="preserve"> </w:t>
      </w:r>
    </w:p>
    <w:p w14:paraId="6CC22826" w14:textId="77777777" w:rsidR="00A623FA" w:rsidRPr="00987394" w:rsidRDefault="00A623FA" w:rsidP="00A623FA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7BEE7825" w14:textId="33411768" w:rsidR="00356986" w:rsidRDefault="004D43C5" w:rsidP="00A30D03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87394">
        <w:rPr>
          <w:rFonts w:ascii="Verdana" w:hAnsi="Verdana"/>
          <w:b/>
          <w:bCs/>
          <w:sz w:val="20"/>
          <w:szCs w:val="20"/>
        </w:rPr>
        <w:t>Table 1</w:t>
      </w:r>
      <w:r w:rsidR="00987394">
        <w:rPr>
          <w:rFonts w:ascii="Verdana" w:hAnsi="Verdana"/>
          <w:b/>
          <w:bCs/>
          <w:sz w:val="20"/>
          <w:szCs w:val="20"/>
        </w:rPr>
        <w:t xml:space="preserve">: </w:t>
      </w:r>
      <w:r w:rsidRPr="00987394">
        <w:rPr>
          <w:rFonts w:ascii="Verdana" w:hAnsi="Verdana"/>
          <w:b/>
          <w:bCs/>
          <w:sz w:val="20"/>
          <w:szCs w:val="20"/>
        </w:rPr>
        <w:t>Comparison of U.S. Two-Year Colleges and</w:t>
      </w:r>
      <w:r w:rsidR="00A30D03">
        <w:rPr>
          <w:rFonts w:ascii="Verdana" w:hAnsi="Verdana"/>
          <w:b/>
          <w:bCs/>
          <w:sz w:val="20"/>
          <w:szCs w:val="20"/>
        </w:rPr>
        <w:br/>
      </w:r>
      <w:r w:rsidRPr="00987394">
        <w:rPr>
          <w:rFonts w:ascii="Verdana" w:hAnsi="Verdana"/>
          <w:b/>
          <w:bCs/>
          <w:sz w:val="20"/>
          <w:szCs w:val="20"/>
        </w:rPr>
        <w:t>Student Enrollments by College Siz</w:t>
      </w:r>
      <w:r w:rsidR="00356986" w:rsidRPr="00987394">
        <w:rPr>
          <w:rFonts w:ascii="Verdana" w:hAnsi="Verdana"/>
          <w:b/>
          <w:bCs/>
          <w:sz w:val="20"/>
          <w:szCs w:val="20"/>
        </w:rPr>
        <w:t>e</w:t>
      </w:r>
    </w:p>
    <w:p w14:paraId="2F50745E" w14:textId="77777777" w:rsidR="00C40EEE" w:rsidRPr="00987394" w:rsidRDefault="00C40EEE" w:rsidP="00987394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tbl>
      <w:tblPr>
        <w:tblStyle w:val="TableGrid121"/>
        <w:tblW w:w="7915" w:type="dxa"/>
        <w:jc w:val="center"/>
        <w:tblLayout w:type="fixed"/>
        <w:tblLook w:val="04A0" w:firstRow="1" w:lastRow="0" w:firstColumn="1" w:lastColumn="0" w:noHBand="0" w:noVBand="1"/>
      </w:tblPr>
      <w:tblGrid>
        <w:gridCol w:w="3155"/>
        <w:gridCol w:w="2330"/>
        <w:gridCol w:w="2430"/>
      </w:tblGrid>
      <w:tr w:rsidR="003C315D" w:rsidRPr="00987394" w14:paraId="3E6F88A4" w14:textId="77777777" w:rsidTr="006968A4">
        <w:trPr>
          <w:trHeight w:val="530"/>
          <w:jc w:val="center"/>
        </w:trPr>
        <w:tc>
          <w:tcPr>
            <w:tcW w:w="3155" w:type="dxa"/>
            <w:shd w:val="clear" w:color="auto" w:fill="A6A6A6" w:themeFill="background1" w:themeFillShade="A6"/>
            <w:vAlign w:val="center"/>
          </w:tcPr>
          <w:p w14:paraId="6579A104" w14:textId="77777777" w:rsidR="003C315D" w:rsidRPr="00987394" w:rsidRDefault="003C315D" w:rsidP="006968A4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>Institutions by Size</w:t>
            </w:r>
          </w:p>
        </w:tc>
        <w:tc>
          <w:tcPr>
            <w:tcW w:w="2330" w:type="dxa"/>
            <w:shd w:val="clear" w:color="auto" w:fill="A6A6A6" w:themeFill="background1" w:themeFillShade="A6"/>
            <w:vAlign w:val="center"/>
          </w:tcPr>
          <w:p w14:paraId="0623080C" w14:textId="77777777" w:rsidR="003C315D" w:rsidRPr="00987394" w:rsidRDefault="003C315D" w:rsidP="006968A4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987394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Proportion of U.S. </w:t>
            </w:r>
            <w:r w:rsidRPr="00987394">
              <w:rPr>
                <w:rFonts w:ascii="Verdana" w:hAnsi="Verdana" w:cstheme="minorHAnsi"/>
                <w:b/>
                <w:bCs/>
                <w:sz w:val="20"/>
                <w:szCs w:val="20"/>
              </w:rPr>
              <w:br/>
              <w:t>Two-Year Colleges</w:t>
            </w:r>
          </w:p>
        </w:tc>
        <w:tc>
          <w:tcPr>
            <w:tcW w:w="2430" w:type="dxa"/>
            <w:shd w:val="clear" w:color="auto" w:fill="A6A6A6" w:themeFill="background1" w:themeFillShade="A6"/>
            <w:vAlign w:val="center"/>
          </w:tcPr>
          <w:p w14:paraId="08F875ED" w14:textId="77777777" w:rsidR="003C315D" w:rsidRPr="00987394" w:rsidRDefault="003C315D" w:rsidP="006968A4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987394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Percentage of U.S. Student </w:t>
            </w: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>E</w:t>
            </w:r>
            <w:r w:rsidRPr="00987394">
              <w:rPr>
                <w:rFonts w:ascii="Verdana" w:hAnsi="Verdana" w:cstheme="minorHAnsi"/>
                <w:b/>
                <w:bCs/>
                <w:sz w:val="20"/>
                <w:szCs w:val="20"/>
              </w:rPr>
              <w:t>nrollment</w:t>
            </w:r>
          </w:p>
        </w:tc>
      </w:tr>
      <w:tr w:rsidR="003C315D" w:rsidRPr="00987394" w14:paraId="2C226089" w14:textId="77777777" w:rsidTr="006968A4">
        <w:trPr>
          <w:trHeight w:val="548"/>
          <w:jc w:val="center"/>
        </w:trPr>
        <w:tc>
          <w:tcPr>
            <w:tcW w:w="3155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6D557" w14:textId="77777777" w:rsidR="003C315D" w:rsidRPr="006968A4" w:rsidRDefault="003C315D" w:rsidP="006968A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Large/Very Large</w:t>
            </w:r>
          </w:p>
        </w:tc>
        <w:tc>
          <w:tcPr>
            <w:tcW w:w="233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358E7" w14:textId="77777777" w:rsidR="003C315D" w:rsidRPr="006968A4" w:rsidRDefault="003C315D" w:rsidP="006968A4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14%</w:t>
            </w:r>
          </w:p>
        </w:tc>
        <w:tc>
          <w:tcPr>
            <w:tcW w:w="243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657C8" w14:textId="77777777" w:rsidR="003C315D" w:rsidRPr="001567CF" w:rsidRDefault="003C315D" w:rsidP="006968A4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56%</w:t>
            </w:r>
          </w:p>
        </w:tc>
      </w:tr>
      <w:tr w:rsidR="003C315D" w:rsidRPr="00987394" w14:paraId="5F2C418B" w14:textId="77777777" w:rsidTr="006968A4">
        <w:trPr>
          <w:trHeight w:val="630"/>
          <w:jc w:val="center"/>
        </w:trPr>
        <w:tc>
          <w:tcPr>
            <w:tcW w:w="3155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E292F" w14:textId="77777777" w:rsidR="003C315D" w:rsidRPr="006968A4" w:rsidRDefault="003C315D" w:rsidP="006968A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Medium</w:t>
            </w:r>
          </w:p>
        </w:tc>
        <w:tc>
          <w:tcPr>
            <w:tcW w:w="2330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DEB982" w14:textId="77777777" w:rsidR="003C315D" w:rsidRPr="006968A4" w:rsidRDefault="003C315D" w:rsidP="006968A4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21%</w:t>
            </w:r>
          </w:p>
        </w:tc>
        <w:tc>
          <w:tcPr>
            <w:tcW w:w="2430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F6401" w14:textId="77777777" w:rsidR="003C315D" w:rsidRPr="001567CF" w:rsidRDefault="003C315D" w:rsidP="006968A4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29%</w:t>
            </w:r>
          </w:p>
        </w:tc>
      </w:tr>
      <w:tr w:rsidR="003C315D" w:rsidRPr="00987394" w14:paraId="37747E46" w14:textId="77777777" w:rsidTr="006968A4">
        <w:trPr>
          <w:trHeight w:val="630"/>
          <w:jc w:val="center"/>
        </w:trPr>
        <w:tc>
          <w:tcPr>
            <w:tcW w:w="3155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B60C4" w14:textId="77777777" w:rsidR="003C315D" w:rsidRPr="006968A4" w:rsidRDefault="003C315D" w:rsidP="006968A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Small/Very Small</w:t>
            </w:r>
          </w:p>
        </w:tc>
        <w:tc>
          <w:tcPr>
            <w:tcW w:w="233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C0EED" w14:textId="77777777" w:rsidR="003C315D" w:rsidRPr="006968A4" w:rsidRDefault="003C315D" w:rsidP="006968A4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65%</w:t>
            </w:r>
          </w:p>
        </w:tc>
        <w:tc>
          <w:tcPr>
            <w:tcW w:w="243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57E20" w14:textId="77777777" w:rsidR="003C315D" w:rsidRPr="001567CF" w:rsidRDefault="003C315D" w:rsidP="006968A4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15%</w:t>
            </w:r>
          </w:p>
        </w:tc>
      </w:tr>
    </w:tbl>
    <w:p w14:paraId="6D275B82" w14:textId="4CB8DC8C" w:rsidR="004D43C5" w:rsidRPr="00010534" w:rsidRDefault="003C315D" w:rsidP="00987394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10534" w:rsidDel="00F570B9">
        <w:rPr>
          <w:rFonts w:ascii="Verdana" w:hAnsi="Verdana"/>
          <w:i/>
          <w:iCs/>
          <w:sz w:val="18"/>
          <w:szCs w:val="18"/>
        </w:rPr>
        <w:t xml:space="preserve"> </w:t>
      </w:r>
      <w:r w:rsidR="00F570B9" w:rsidRPr="00010534">
        <w:rPr>
          <w:rFonts w:ascii="Verdana" w:hAnsi="Verdana"/>
          <w:sz w:val="18"/>
          <w:szCs w:val="18"/>
        </w:rPr>
        <w:t>(</w:t>
      </w:r>
      <w:r w:rsidR="00010534" w:rsidRPr="00010534">
        <w:rPr>
          <w:rFonts w:ascii="Verdana" w:hAnsi="Verdana"/>
          <w:sz w:val="18"/>
          <w:szCs w:val="18"/>
        </w:rPr>
        <w:t xml:space="preserve">Based on data from </w:t>
      </w:r>
      <w:r w:rsidR="004D43C5" w:rsidRPr="00010534">
        <w:rPr>
          <w:rFonts w:ascii="Verdana" w:hAnsi="Verdana"/>
          <w:sz w:val="18"/>
          <w:szCs w:val="18"/>
        </w:rPr>
        <w:t>Carnegie Classification of Institutions of Higher Education</w:t>
      </w:r>
      <w:r w:rsidR="00F570B9" w:rsidRPr="00010534">
        <w:rPr>
          <w:rFonts w:ascii="Verdana" w:hAnsi="Verdana"/>
          <w:sz w:val="18"/>
          <w:szCs w:val="18"/>
        </w:rPr>
        <w:t xml:space="preserve">, </w:t>
      </w:r>
      <w:r w:rsidR="004D43C5" w:rsidRPr="00010534">
        <w:rPr>
          <w:rFonts w:ascii="Verdana" w:hAnsi="Verdana"/>
          <w:sz w:val="18"/>
          <w:szCs w:val="18"/>
        </w:rPr>
        <w:t>2018)</w:t>
      </w:r>
    </w:p>
    <w:p w14:paraId="476AADC5" w14:textId="77777777" w:rsidR="00356986" w:rsidRPr="00987394" w:rsidRDefault="00356986" w:rsidP="00A623F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D30329A" w14:textId="3C03AD21" w:rsidR="004D43C5" w:rsidRPr="00987394" w:rsidRDefault="00B92E13" w:rsidP="00A623FA">
      <w:pPr>
        <w:spacing w:after="0" w:line="240" w:lineRule="auto"/>
        <w:rPr>
          <w:rFonts w:ascii="Verdana" w:hAnsi="Verdana"/>
          <w:sz w:val="20"/>
          <w:szCs w:val="20"/>
        </w:rPr>
      </w:pPr>
      <w:r w:rsidRPr="00987394">
        <w:rPr>
          <w:rFonts w:ascii="Verdana" w:hAnsi="Verdana"/>
          <w:sz w:val="20"/>
          <w:szCs w:val="20"/>
        </w:rPr>
        <w:t>For our study, we</w:t>
      </w:r>
      <w:r w:rsidR="006D36C3" w:rsidRPr="00987394">
        <w:rPr>
          <w:rFonts w:ascii="Verdana" w:hAnsi="Verdana"/>
          <w:sz w:val="20"/>
          <w:szCs w:val="20"/>
        </w:rPr>
        <w:t xml:space="preserve"> </w:t>
      </w:r>
      <w:r w:rsidR="00B47850" w:rsidRPr="00987394">
        <w:rPr>
          <w:rFonts w:ascii="Verdana" w:hAnsi="Verdana"/>
          <w:sz w:val="20"/>
          <w:szCs w:val="20"/>
        </w:rPr>
        <w:t xml:space="preserve">grouped </w:t>
      </w:r>
      <w:r w:rsidR="00ED0F9C" w:rsidRPr="00987394">
        <w:rPr>
          <w:rFonts w:ascii="Verdana" w:hAnsi="Verdana"/>
          <w:sz w:val="20"/>
          <w:szCs w:val="20"/>
        </w:rPr>
        <w:t>institutions</w:t>
      </w:r>
      <w:r w:rsidR="006E37EF" w:rsidRPr="00987394">
        <w:rPr>
          <w:rFonts w:ascii="Verdana" w:hAnsi="Verdana"/>
          <w:sz w:val="20"/>
          <w:szCs w:val="20"/>
        </w:rPr>
        <w:t xml:space="preserve"> classified by Carnegie as</w:t>
      </w:r>
      <w:r w:rsidR="006D36C3" w:rsidRPr="00987394">
        <w:rPr>
          <w:rFonts w:ascii="Verdana" w:hAnsi="Verdana"/>
          <w:sz w:val="20"/>
          <w:szCs w:val="20"/>
        </w:rPr>
        <w:t xml:space="preserve"> large</w:t>
      </w:r>
      <w:r w:rsidR="004E195A">
        <w:rPr>
          <w:rFonts w:ascii="Verdana" w:hAnsi="Verdana"/>
          <w:sz w:val="20"/>
          <w:szCs w:val="20"/>
        </w:rPr>
        <w:t>/</w:t>
      </w:r>
      <w:r w:rsidR="006E37EF" w:rsidRPr="00987394">
        <w:rPr>
          <w:rFonts w:ascii="Verdana" w:hAnsi="Verdana"/>
          <w:sz w:val="20"/>
          <w:szCs w:val="20"/>
        </w:rPr>
        <w:t>v</w:t>
      </w:r>
      <w:r w:rsidR="006D36C3" w:rsidRPr="00987394">
        <w:rPr>
          <w:rFonts w:ascii="Verdana" w:hAnsi="Verdana"/>
          <w:sz w:val="20"/>
          <w:szCs w:val="20"/>
        </w:rPr>
        <w:t>ery large</w:t>
      </w:r>
      <w:r w:rsidR="00F570B9">
        <w:rPr>
          <w:rFonts w:ascii="Verdana" w:hAnsi="Verdana"/>
          <w:sz w:val="20"/>
          <w:szCs w:val="20"/>
        </w:rPr>
        <w:t xml:space="preserve"> and small</w:t>
      </w:r>
      <w:r w:rsidR="004E195A">
        <w:rPr>
          <w:rFonts w:ascii="Verdana" w:hAnsi="Verdana"/>
          <w:sz w:val="20"/>
          <w:szCs w:val="20"/>
        </w:rPr>
        <w:t>/</w:t>
      </w:r>
      <w:r w:rsidR="00F570B9">
        <w:rPr>
          <w:rFonts w:ascii="Verdana" w:hAnsi="Verdana"/>
          <w:sz w:val="20"/>
          <w:szCs w:val="20"/>
        </w:rPr>
        <w:t xml:space="preserve">very small </w:t>
      </w:r>
      <w:r w:rsidR="006D36C3" w:rsidRPr="00987394">
        <w:rPr>
          <w:rFonts w:ascii="Verdana" w:hAnsi="Verdana"/>
          <w:sz w:val="20"/>
          <w:szCs w:val="20"/>
        </w:rPr>
        <w:t xml:space="preserve">into </w:t>
      </w:r>
      <w:r w:rsidR="00F570B9">
        <w:rPr>
          <w:rFonts w:ascii="Verdana" w:hAnsi="Verdana"/>
          <w:sz w:val="20"/>
          <w:szCs w:val="20"/>
        </w:rPr>
        <w:t>two</w:t>
      </w:r>
      <w:r w:rsidR="006E37EF" w:rsidRPr="00987394">
        <w:rPr>
          <w:rFonts w:ascii="Verdana" w:hAnsi="Verdana"/>
          <w:sz w:val="20"/>
          <w:szCs w:val="20"/>
        </w:rPr>
        <w:t xml:space="preserve"> categor</w:t>
      </w:r>
      <w:r w:rsidR="00F570B9">
        <w:rPr>
          <w:rFonts w:ascii="Verdana" w:hAnsi="Verdana"/>
          <w:sz w:val="20"/>
          <w:szCs w:val="20"/>
        </w:rPr>
        <w:t>ies—</w:t>
      </w:r>
      <w:r w:rsidR="006E37EF" w:rsidRPr="00BD25F3">
        <w:rPr>
          <w:rFonts w:ascii="Verdana" w:hAnsi="Verdana"/>
          <w:sz w:val="20"/>
          <w:szCs w:val="20"/>
        </w:rPr>
        <w:t>large</w:t>
      </w:r>
      <w:r w:rsidRPr="00987394">
        <w:rPr>
          <w:rFonts w:ascii="Verdana" w:hAnsi="Verdana"/>
          <w:sz w:val="20"/>
          <w:szCs w:val="20"/>
        </w:rPr>
        <w:t xml:space="preserve"> and </w:t>
      </w:r>
      <w:r w:rsidR="006E37EF" w:rsidRPr="00987394">
        <w:rPr>
          <w:rFonts w:ascii="Verdana" w:hAnsi="Verdana"/>
          <w:sz w:val="20"/>
          <w:szCs w:val="20"/>
        </w:rPr>
        <w:t xml:space="preserve">small. </w:t>
      </w:r>
      <w:r w:rsidR="003C050C" w:rsidRPr="00987394">
        <w:rPr>
          <w:rFonts w:ascii="Verdana" w:hAnsi="Verdana"/>
          <w:sz w:val="20"/>
          <w:szCs w:val="20"/>
        </w:rPr>
        <w:t xml:space="preserve">To balance the number of institutions </w:t>
      </w:r>
      <w:r w:rsidR="00B47850" w:rsidRPr="00987394">
        <w:rPr>
          <w:rFonts w:ascii="Verdana" w:hAnsi="Verdana"/>
          <w:sz w:val="20"/>
          <w:szCs w:val="20"/>
        </w:rPr>
        <w:t>and</w:t>
      </w:r>
      <w:r w:rsidR="003C050C" w:rsidRPr="00987394">
        <w:rPr>
          <w:rFonts w:ascii="Verdana" w:hAnsi="Verdana"/>
          <w:sz w:val="20"/>
          <w:szCs w:val="20"/>
        </w:rPr>
        <w:t xml:space="preserve"> their institutional impact on student populations, we chose a randomly stratified sample of 30 colleges evenly distributed across each of the three categories: 10 large, 10 medium, and 10 small public two-year colleges.</w:t>
      </w:r>
    </w:p>
    <w:p w14:paraId="642B6472" w14:textId="77777777" w:rsidR="00A623FA" w:rsidRPr="00987394" w:rsidRDefault="00A623FA" w:rsidP="00A623FA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14:paraId="546C6600" w14:textId="4A34BC5F" w:rsidR="00FA6431" w:rsidRPr="00987394" w:rsidRDefault="00352788" w:rsidP="00376728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987394">
        <w:rPr>
          <w:rFonts w:ascii="Verdana" w:hAnsi="Verdana" w:cs="Times New Roman"/>
          <w:b/>
          <w:bCs/>
          <w:sz w:val="20"/>
          <w:szCs w:val="20"/>
        </w:rPr>
        <w:t>Findings</w:t>
      </w:r>
    </w:p>
    <w:p w14:paraId="365ACC7A" w14:textId="77777777" w:rsidR="00A623FA" w:rsidRPr="00987394" w:rsidRDefault="00A623FA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</w:pPr>
    </w:p>
    <w:p w14:paraId="7AE66A4A" w14:textId="74158D5F" w:rsidR="004D43C5" w:rsidRPr="00BD25F3" w:rsidRDefault="004D43C5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</w:pPr>
      <w:r w:rsidRPr="00376728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>General Education Subject Matter Categories</w:t>
      </w:r>
    </w:p>
    <w:p w14:paraId="3B050BCF" w14:textId="77777777" w:rsidR="00A744DB" w:rsidRPr="00987394" w:rsidRDefault="00A744DB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</w:pPr>
    </w:p>
    <w:p w14:paraId="5FF5722C" w14:textId="3F9803A0" w:rsidR="00E62F49" w:rsidRPr="00987394" w:rsidRDefault="00A330DE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>We</w:t>
      </w:r>
      <w:r w:rsidR="00070DED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f</w:t>
      </w:r>
      <w:r w:rsidR="009A1F15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ound </w:t>
      </w:r>
      <w:r w:rsidR="004034D6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great variation </w:t>
      </w:r>
      <w:r w:rsidR="009A1F15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in </w:t>
      </w:r>
      <w:r w:rsidR="00B21204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how colleges named and grouped their subject area </w:t>
      </w:r>
      <w:r w:rsidR="009A1F15" w:rsidRPr="00987394">
        <w:rPr>
          <w:rFonts w:ascii="Verdana" w:hAnsi="Verdana" w:cs="Times New Roman"/>
          <w:sz w:val="20"/>
          <w:szCs w:val="20"/>
          <w:shd w:val="clear" w:color="auto" w:fill="FFFFFF"/>
        </w:rPr>
        <w:t>requirements</w:t>
      </w:r>
      <w:r w:rsidR="00A34194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and</w:t>
      </w:r>
      <w:r w:rsidR="002E0A43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an </w:t>
      </w:r>
      <w:r w:rsidR="00A7471E" w:rsidRPr="00987394">
        <w:rPr>
          <w:rFonts w:ascii="Verdana" w:hAnsi="Verdana" w:cs="Times New Roman"/>
          <w:sz w:val="20"/>
          <w:szCs w:val="20"/>
          <w:shd w:val="clear" w:color="auto" w:fill="FFFFFF"/>
        </w:rPr>
        <w:t>assortment</w:t>
      </w:r>
      <w:r w:rsidR="004D43C5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1620E6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of </w:t>
      </w:r>
      <w:r w:rsidR="00D06FAB" w:rsidRPr="00987394">
        <w:rPr>
          <w:rFonts w:ascii="Verdana" w:hAnsi="Verdana" w:cs="Times New Roman"/>
          <w:sz w:val="20"/>
          <w:szCs w:val="20"/>
          <w:shd w:val="clear" w:color="auto" w:fill="FFFFFF"/>
        </w:rPr>
        <w:t>GE</w:t>
      </w:r>
      <w:r w:rsidR="004D43C5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070DED" w:rsidRPr="00987394">
        <w:rPr>
          <w:rFonts w:ascii="Verdana" w:hAnsi="Verdana" w:cs="Times New Roman"/>
          <w:sz w:val="20"/>
          <w:szCs w:val="20"/>
          <w:shd w:val="clear" w:color="auto" w:fill="FFFFFF"/>
        </w:rPr>
        <w:t>typologies</w:t>
      </w:r>
      <w:r w:rsidR="004D43C5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. </w:t>
      </w:r>
      <w:r w:rsidR="00851892" w:rsidRPr="00987394">
        <w:rPr>
          <w:rFonts w:ascii="Verdana" w:hAnsi="Verdana" w:cs="Times New Roman"/>
          <w:sz w:val="20"/>
          <w:szCs w:val="20"/>
          <w:shd w:val="clear" w:color="auto" w:fill="FFFFFF"/>
        </w:rPr>
        <w:t>Most</w:t>
      </w:r>
      <w:r w:rsidR="007278C9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D26D25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colleges </w:t>
      </w:r>
      <w:r w:rsidR="0085189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referred to </w:t>
      </w:r>
      <w:r w:rsidR="00341A02" w:rsidRPr="00987394">
        <w:rPr>
          <w:rFonts w:ascii="Verdana" w:hAnsi="Verdana" w:cs="Times New Roman"/>
          <w:sz w:val="20"/>
          <w:szCs w:val="20"/>
          <w:shd w:val="clear" w:color="auto" w:fill="FFFFFF"/>
        </w:rPr>
        <w:t>disciplinary</w:t>
      </w:r>
      <w:r w:rsidR="0085189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341A02" w:rsidRPr="00987394">
        <w:rPr>
          <w:rFonts w:ascii="Verdana" w:hAnsi="Verdana" w:cs="Times New Roman"/>
          <w:sz w:val="20"/>
          <w:szCs w:val="20"/>
          <w:shd w:val="clear" w:color="auto" w:fill="FFFFFF"/>
        </w:rPr>
        <w:t>titles, but</w:t>
      </w:r>
      <w:r w:rsidR="00E37E49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a few </w:t>
      </w:r>
      <w:r w:rsidR="00D26D25" w:rsidRPr="00987394">
        <w:rPr>
          <w:rFonts w:ascii="Verdana" w:hAnsi="Verdana" w:cs="Times New Roman"/>
          <w:sz w:val="20"/>
          <w:szCs w:val="20"/>
          <w:shd w:val="clear" w:color="auto" w:fill="FFFFFF"/>
        </w:rPr>
        <w:t>referred to</w:t>
      </w:r>
      <w:r w:rsidR="007278C9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lofty</w:t>
      </w:r>
      <w:r w:rsidR="000C2917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="00BD7566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overarching </w:t>
      </w:r>
      <w:r w:rsidR="006C17B8" w:rsidRPr="00987394">
        <w:rPr>
          <w:rFonts w:ascii="Verdana" w:hAnsi="Verdana" w:cs="Times New Roman"/>
          <w:sz w:val="20"/>
          <w:szCs w:val="20"/>
          <w:shd w:val="clear" w:color="auto" w:fill="FFFFFF"/>
        </w:rPr>
        <w:t>learning outcomes</w:t>
      </w:r>
      <w:r w:rsidR="00BD7566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(e.g., </w:t>
      </w:r>
      <w:r w:rsidR="00BD7566" w:rsidRPr="00BD25F3">
        <w:rPr>
          <w:rFonts w:ascii="Verdana" w:hAnsi="Verdana" w:cs="Times New Roman"/>
          <w:sz w:val="20"/>
          <w:szCs w:val="20"/>
          <w:shd w:val="clear" w:color="auto" w:fill="FFFFFF"/>
        </w:rPr>
        <w:t>skills and self-awareness to navigate and fully participate in a rapidly changing world with resilience and perseverance</w:t>
      </w:r>
      <w:r w:rsidR="00BD7566" w:rsidRPr="00987394">
        <w:rPr>
          <w:rFonts w:ascii="Verdana" w:hAnsi="Verdana" w:cs="Times New Roman"/>
          <w:sz w:val="20"/>
          <w:szCs w:val="20"/>
          <w:shd w:val="clear" w:color="auto" w:fill="FFFFFF"/>
        </w:rPr>
        <w:t>)</w:t>
      </w:r>
      <w:r w:rsidR="00341A0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. Nearly half </w:t>
      </w:r>
      <w:r w:rsidR="00BD7566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referenced </w:t>
      </w:r>
      <w:r w:rsidR="000C2917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detailed </w:t>
      </w:r>
      <w:r w:rsidR="00BD7566" w:rsidRPr="00987394">
        <w:rPr>
          <w:rFonts w:ascii="Verdana" w:hAnsi="Verdana" w:cs="Times New Roman"/>
          <w:sz w:val="20"/>
          <w:szCs w:val="20"/>
          <w:shd w:val="clear" w:color="auto" w:fill="FFFFFF"/>
        </w:rPr>
        <w:t>state</w:t>
      </w:r>
      <w:r w:rsidR="007409A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mandated</w:t>
      </w:r>
      <w:r w:rsidR="0003428A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GE</w:t>
      </w:r>
      <w:r w:rsidR="000C2917" w:rsidRPr="00987394">
        <w:rPr>
          <w:rFonts w:ascii="Verdana" w:hAnsi="Verdana" w:cs="Times New Roman"/>
          <w:sz w:val="20"/>
          <w:szCs w:val="20"/>
          <w:shd w:val="clear" w:color="auto" w:fill="FFFFFF"/>
        </w:rPr>
        <w:t>/</w:t>
      </w:r>
      <w:r w:rsidR="00341A02" w:rsidRPr="00987394">
        <w:rPr>
          <w:rFonts w:ascii="Verdana" w:hAnsi="Verdana" w:cs="Times New Roman"/>
          <w:sz w:val="20"/>
          <w:szCs w:val="20"/>
          <w:shd w:val="clear" w:color="auto" w:fill="FFFFFF"/>
        </w:rPr>
        <w:t>c</w:t>
      </w:r>
      <w:r w:rsidR="0003428A" w:rsidRPr="00987394">
        <w:rPr>
          <w:rFonts w:ascii="Verdana" w:hAnsi="Verdana" w:cs="Times New Roman"/>
          <w:sz w:val="20"/>
          <w:szCs w:val="20"/>
          <w:shd w:val="clear" w:color="auto" w:fill="FFFFFF"/>
        </w:rPr>
        <w:t>ore requirements</w:t>
      </w:r>
      <w:r w:rsidR="000C2917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or university GE transfer agreements</w:t>
      </w:r>
      <w:r w:rsidR="0003428A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. </w:t>
      </w:r>
    </w:p>
    <w:p w14:paraId="4C447B6D" w14:textId="77777777" w:rsidR="00A744DB" w:rsidRPr="00987394" w:rsidRDefault="00A744DB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25FB7209" w14:textId="064248FD" w:rsidR="00046926" w:rsidRPr="00987394" w:rsidRDefault="006B4444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Deconstructing the GE categories and their associated approved courses was </w:t>
      </w:r>
      <w:r w:rsidR="000C2917" w:rsidRPr="00987394">
        <w:rPr>
          <w:rFonts w:ascii="Verdana" w:hAnsi="Verdana" w:cs="Times New Roman"/>
          <w:sz w:val="20"/>
          <w:szCs w:val="20"/>
          <w:shd w:val="clear" w:color="auto" w:fill="FFFFFF"/>
        </w:rPr>
        <w:t>the biggest hurdle</w:t>
      </w:r>
      <w:r w:rsidR="00FE39D4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to </w:t>
      </w:r>
      <w:r w:rsidR="00905B1F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making comparisons across colleges. </w:t>
      </w:r>
      <w:r w:rsidR="00046926" w:rsidRPr="00987394">
        <w:rPr>
          <w:rFonts w:ascii="Verdana" w:hAnsi="Verdana" w:cs="Times New Roman"/>
          <w:sz w:val="20"/>
          <w:szCs w:val="20"/>
          <w:shd w:val="clear" w:color="auto" w:fill="FFFFFF"/>
        </w:rPr>
        <w:t>To create a structure for comparative analysis, we examined college GE groupings for patterns and applied theoretical templates from the literature and accrediting commission</w:t>
      </w:r>
      <w:r w:rsidR="00FB497A" w:rsidRPr="00987394">
        <w:rPr>
          <w:rFonts w:ascii="Verdana" w:hAnsi="Verdana" w:cs="Times New Roman"/>
          <w:sz w:val="20"/>
          <w:szCs w:val="20"/>
          <w:shd w:val="clear" w:color="auto" w:fill="FFFFFF"/>
        </w:rPr>
        <w:t>s</w:t>
      </w:r>
      <w:r w:rsidR="00046926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as guides. Ultimately, most college GE requirements fell into five overarching categories with varying names, but the most common were: (1) Arts and Humanities, (2) Social and Behavioral Sciences, (3) Natural Sciences, (4) Communication and Composition, and (5) Mathematics.</w:t>
      </w:r>
      <w:r w:rsidR="000B24D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</w:p>
    <w:p w14:paraId="49D19F49" w14:textId="77777777" w:rsidR="00A744DB" w:rsidRPr="00987394" w:rsidRDefault="00A744DB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74FBB933" w14:textId="4216F09A" w:rsidR="00770B32" w:rsidRPr="00987394" w:rsidRDefault="00046926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The </w:t>
      </w:r>
      <w:r w:rsidR="00AB6897" w:rsidRPr="00987394">
        <w:rPr>
          <w:rFonts w:ascii="Verdana" w:hAnsi="Verdana" w:cs="Times New Roman"/>
          <w:sz w:val="20"/>
          <w:szCs w:val="20"/>
          <w:shd w:val="clear" w:color="auto" w:fill="FFFFFF"/>
        </w:rPr>
        <w:t>universally</w:t>
      </w:r>
      <w:r w:rsidR="0003428A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required GE competency area</w:t>
      </w:r>
      <w:r w:rsidR="00905B1F" w:rsidRPr="00987394">
        <w:rPr>
          <w:rFonts w:ascii="Verdana" w:hAnsi="Verdana" w:cs="Times New Roman"/>
          <w:sz w:val="20"/>
          <w:szCs w:val="20"/>
          <w:shd w:val="clear" w:color="auto" w:fill="FFFFFF"/>
        </w:rPr>
        <w:t>—</w:t>
      </w:r>
      <w:r w:rsidR="0003428A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which we </w:t>
      </w:r>
      <w:r w:rsidR="00AB6897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ultimately </w:t>
      </w:r>
      <w:r w:rsidR="002E0A43" w:rsidRPr="00987394">
        <w:rPr>
          <w:rFonts w:ascii="Verdana" w:hAnsi="Verdana" w:cs="Times New Roman"/>
          <w:sz w:val="20"/>
          <w:szCs w:val="20"/>
          <w:shd w:val="clear" w:color="auto" w:fill="FFFFFF"/>
        </w:rPr>
        <w:t>labelled</w:t>
      </w:r>
      <w:r w:rsidR="0003428A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03428A" w:rsidRPr="00BD25F3">
        <w:rPr>
          <w:rFonts w:ascii="Verdana" w:hAnsi="Verdana" w:cs="Times New Roman"/>
          <w:sz w:val="20"/>
          <w:szCs w:val="20"/>
        </w:rPr>
        <w:t>Communication and Compositio</w:t>
      </w:r>
      <w:r w:rsidR="005D6235" w:rsidRPr="00BD25F3">
        <w:rPr>
          <w:rFonts w:ascii="Verdana" w:hAnsi="Verdana" w:cs="Times New Roman"/>
          <w:sz w:val="20"/>
          <w:szCs w:val="20"/>
        </w:rPr>
        <w:t>n</w:t>
      </w:r>
      <w:r w:rsidR="00905B1F" w:rsidRPr="00BD25F3">
        <w:rPr>
          <w:rFonts w:ascii="Verdana" w:hAnsi="Verdana" w:cs="Times New Roman"/>
          <w:sz w:val="20"/>
          <w:szCs w:val="20"/>
        </w:rPr>
        <w:t>—</w:t>
      </w:r>
      <w:r w:rsidR="0003428A" w:rsidRPr="007E6E7E">
        <w:rPr>
          <w:rFonts w:ascii="Verdana" w:hAnsi="Verdana" w:cs="Times New Roman"/>
          <w:sz w:val="20"/>
          <w:szCs w:val="20"/>
          <w:shd w:val="clear" w:color="auto" w:fill="FFFFFF"/>
        </w:rPr>
        <w:t>was</w:t>
      </w:r>
      <w:r w:rsidR="0003428A" w:rsidRPr="00BD25F3">
        <w:rPr>
          <w:rFonts w:ascii="Verdana" w:hAnsi="Verdana" w:cs="Times New Roman"/>
          <w:sz w:val="20"/>
          <w:szCs w:val="20"/>
        </w:rPr>
        <w:t xml:space="preserve"> </w:t>
      </w:r>
      <w:r w:rsidR="0003428A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variously called </w:t>
      </w:r>
      <w:r w:rsidR="00DC0637" w:rsidRPr="00BD25F3">
        <w:rPr>
          <w:rFonts w:ascii="Verdana" w:hAnsi="Verdana" w:cs="Times New Roman"/>
          <w:sz w:val="20"/>
          <w:szCs w:val="20"/>
          <w:shd w:val="clear" w:color="auto" w:fill="FFFFFF"/>
        </w:rPr>
        <w:t>Communication</w:t>
      </w:r>
      <w:r w:rsidR="00DC0637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="0003428A" w:rsidRPr="00BD25F3">
        <w:rPr>
          <w:rFonts w:ascii="Verdana" w:hAnsi="Verdana" w:cs="Times New Roman"/>
          <w:sz w:val="20"/>
          <w:szCs w:val="20"/>
          <w:shd w:val="clear" w:color="auto" w:fill="FFFFFF"/>
        </w:rPr>
        <w:t>Communications</w:t>
      </w:r>
      <w:r w:rsidR="0003428A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="00DC0637" w:rsidRPr="00BD25F3">
        <w:rPr>
          <w:rFonts w:ascii="Verdana" w:hAnsi="Verdana" w:cs="Times New Roman"/>
          <w:sz w:val="20"/>
          <w:szCs w:val="20"/>
          <w:shd w:val="clear" w:color="auto" w:fill="FFFFFF"/>
        </w:rPr>
        <w:t>Writing</w:t>
      </w:r>
      <w:r w:rsidR="00DC0637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="002B7F09" w:rsidRPr="00BD25F3">
        <w:rPr>
          <w:rFonts w:ascii="Verdana" w:hAnsi="Verdana" w:cs="Times New Roman"/>
          <w:sz w:val="20"/>
          <w:szCs w:val="20"/>
          <w:shd w:val="clear" w:color="auto" w:fill="FFFFFF"/>
        </w:rPr>
        <w:t>Composition</w:t>
      </w:r>
      <w:r w:rsidR="002B7F09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="00E37362" w:rsidRPr="00BD25F3">
        <w:rPr>
          <w:rFonts w:ascii="Verdana" w:hAnsi="Verdana" w:cs="Times New Roman"/>
          <w:sz w:val="20"/>
          <w:szCs w:val="20"/>
          <w:shd w:val="clear" w:color="auto" w:fill="FFFFFF"/>
        </w:rPr>
        <w:t>Fundamentals of Composition</w:t>
      </w:r>
      <w:r w:rsidR="00E37362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="002B7F09" w:rsidRPr="00BD25F3">
        <w:rPr>
          <w:rFonts w:ascii="Verdana" w:hAnsi="Verdana" w:cs="Times New Roman"/>
          <w:sz w:val="20"/>
          <w:szCs w:val="20"/>
          <w:shd w:val="clear" w:color="auto" w:fill="FFFFFF"/>
        </w:rPr>
        <w:t>Written Communications</w:t>
      </w:r>
      <w:r w:rsidR="002B7F09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="00905B1F" w:rsidRPr="007E6E7E">
        <w:rPr>
          <w:rFonts w:ascii="Verdana" w:hAnsi="Verdana" w:cs="Times New Roman"/>
          <w:sz w:val="20"/>
          <w:szCs w:val="20"/>
          <w:shd w:val="clear" w:color="auto" w:fill="FFFFFF"/>
        </w:rPr>
        <w:t>Writi</w:t>
      </w:r>
      <w:r w:rsidR="00905B1F" w:rsidRPr="00BD25F3">
        <w:rPr>
          <w:rFonts w:ascii="Verdana" w:hAnsi="Verdana" w:cs="Times New Roman"/>
          <w:sz w:val="20"/>
          <w:szCs w:val="20"/>
          <w:shd w:val="clear" w:color="auto" w:fill="FFFFFF"/>
        </w:rPr>
        <w:t>ng and Rhetoric</w:t>
      </w:r>
      <w:r w:rsidR="00905B1F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="00905B1F" w:rsidRPr="00BD25F3">
        <w:rPr>
          <w:rFonts w:ascii="Verdana" w:hAnsi="Verdana" w:cs="Times New Roman"/>
          <w:sz w:val="20"/>
          <w:szCs w:val="20"/>
          <w:shd w:val="clear" w:color="auto" w:fill="FFFFFF"/>
        </w:rPr>
        <w:t>Written and Oral Communication</w:t>
      </w:r>
      <w:r w:rsidR="00905B1F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="00E37362" w:rsidRPr="00BD25F3">
        <w:rPr>
          <w:rFonts w:ascii="Verdana" w:hAnsi="Verdana" w:cs="Times New Roman"/>
          <w:sz w:val="20"/>
          <w:szCs w:val="20"/>
          <w:shd w:val="clear" w:color="auto" w:fill="FFFFFF"/>
        </w:rPr>
        <w:t>Communication Skills</w:t>
      </w:r>
      <w:r w:rsidR="00E37362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="00DC0637" w:rsidRPr="00BD25F3">
        <w:rPr>
          <w:rFonts w:ascii="Verdana" w:hAnsi="Verdana" w:cs="Times New Roman"/>
          <w:sz w:val="20"/>
          <w:szCs w:val="20"/>
          <w:shd w:val="clear" w:color="auto" w:fill="FFFFFF"/>
        </w:rPr>
        <w:t>Composition and Rhetoric</w:t>
      </w:r>
      <w:r w:rsidR="00DC0637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="00905B1F" w:rsidRPr="00BD25F3">
        <w:rPr>
          <w:rFonts w:ascii="Verdana" w:hAnsi="Verdana" w:cs="Times New Roman"/>
          <w:sz w:val="20"/>
          <w:szCs w:val="20"/>
          <w:shd w:val="clear" w:color="auto" w:fill="FFFFFF"/>
        </w:rPr>
        <w:t xml:space="preserve">English </w:t>
      </w:r>
      <w:r w:rsidR="00905B1F" w:rsidRPr="00BD25F3">
        <w:rPr>
          <w:rFonts w:ascii="Verdana" w:hAnsi="Verdana" w:cs="Times New Roman"/>
          <w:sz w:val="20"/>
          <w:szCs w:val="20"/>
          <w:shd w:val="clear" w:color="auto" w:fill="FFFFFF"/>
        </w:rPr>
        <w:lastRenderedPageBreak/>
        <w:t>Communication</w:t>
      </w:r>
      <w:r w:rsidR="00905B1F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="00DB4FC7" w:rsidRPr="00BD25F3">
        <w:rPr>
          <w:rFonts w:ascii="Verdana" w:hAnsi="Verdana" w:cs="Times New Roman"/>
          <w:sz w:val="20"/>
          <w:szCs w:val="20"/>
          <w:shd w:val="clear" w:color="auto" w:fill="FFFFFF"/>
        </w:rPr>
        <w:t>English Composition, English Composition/Writing</w:t>
      </w:r>
      <w:r w:rsidR="00DB4FC7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, and </w:t>
      </w:r>
      <w:r w:rsidR="00DC0637" w:rsidRPr="00BD25F3">
        <w:rPr>
          <w:rFonts w:ascii="Verdana" w:hAnsi="Verdana" w:cs="Times New Roman"/>
          <w:sz w:val="20"/>
          <w:szCs w:val="20"/>
          <w:shd w:val="clear" w:color="auto" w:fill="FFFFFF"/>
        </w:rPr>
        <w:t>English/Communications</w:t>
      </w:r>
      <w:r w:rsidR="003D2759" w:rsidRPr="007E6E7E">
        <w:rPr>
          <w:rFonts w:ascii="Verdana" w:hAnsi="Verdana" w:cs="Times New Roman"/>
          <w:sz w:val="20"/>
          <w:szCs w:val="20"/>
          <w:shd w:val="clear" w:color="auto" w:fill="FFFFFF"/>
        </w:rPr>
        <w:t>.</w:t>
      </w:r>
      <w:r w:rsidR="003D2759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In several colleges, this category also included </w:t>
      </w:r>
      <w:r w:rsidR="00E3736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subtopics of </w:t>
      </w:r>
      <w:r w:rsidR="00150A87">
        <w:rPr>
          <w:rFonts w:ascii="Verdana" w:hAnsi="Verdana" w:cs="Times New Roman"/>
          <w:sz w:val="20"/>
          <w:szCs w:val="20"/>
          <w:shd w:val="clear" w:color="auto" w:fill="FFFFFF"/>
        </w:rPr>
        <w:t>c</w:t>
      </w:r>
      <w:r w:rsidR="003D2759" w:rsidRPr="00BD25F3">
        <w:rPr>
          <w:rFonts w:ascii="Verdana" w:hAnsi="Verdana" w:cs="Times New Roman"/>
          <w:sz w:val="20"/>
          <w:szCs w:val="20"/>
          <w:shd w:val="clear" w:color="auto" w:fill="FFFFFF"/>
        </w:rPr>
        <w:t xml:space="preserve">ritical </w:t>
      </w:r>
      <w:r w:rsidR="00150A87">
        <w:rPr>
          <w:rFonts w:ascii="Verdana" w:hAnsi="Verdana" w:cs="Times New Roman"/>
          <w:sz w:val="20"/>
          <w:szCs w:val="20"/>
          <w:shd w:val="clear" w:color="auto" w:fill="FFFFFF"/>
        </w:rPr>
        <w:t>t</w:t>
      </w:r>
      <w:r w:rsidR="003D2759" w:rsidRPr="00BD25F3">
        <w:rPr>
          <w:rFonts w:ascii="Verdana" w:hAnsi="Verdana" w:cs="Times New Roman"/>
          <w:sz w:val="20"/>
          <w:szCs w:val="20"/>
          <w:shd w:val="clear" w:color="auto" w:fill="FFFFFF"/>
        </w:rPr>
        <w:t>hinking</w:t>
      </w:r>
      <w:r w:rsidR="003D2759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, (e.g., </w:t>
      </w:r>
      <w:r w:rsidR="003D2759" w:rsidRPr="00BD25F3">
        <w:rPr>
          <w:rFonts w:ascii="Verdana" w:hAnsi="Verdana" w:cs="Times New Roman"/>
          <w:sz w:val="20"/>
          <w:szCs w:val="20"/>
          <w:shd w:val="clear" w:color="auto" w:fill="FFFFFF"/>
        </w:rPr>
        <w:t>English Language Communication</w:t>
      </w:r>
      <w:r w:rsidR="00E37362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="003D2759" w:rsidRPr="00BD25F3">
        <w:rPr>
          <w:rFonts w:ascii="Verdana" w:hAnsi="Verdana" w:cs="Times New Roman"/>
          <w:sz w:val="20"/>
          <w:szCs w:val="20"/>
          <w:shd w:val="clear" w:color="auto" w:fill="FFFFFF"/>
        </w:rPr>
        <w:t>Critical Thinking</w:t>
      </w:r>
      <w:r w:rsidR="003D2759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="003D2759" w:rsidRPr="00BD25F3">
        <w:rPr>
          <w:rFonts w:ascii="Verdana" w:hAnsi="Verdana" w:cs="Times New Roman"/>
          <w:sz w:val="20"/>
          <w:szCs w:val="20"/>
          <w:shd w:val="clear" w:color="auto" w:fill="FFFFFF"/>
        </w:rPr>
        <w:t>Language and Rationality</w:t>
      </w:r>
      <w:r w:rsidR="00E37362" w:rsidRPr="00BD25F3">
        <w:rPr>
          <w:rFonts w:ascii="Verdana" w:hAnsi="Verdana" w:cs="Times New Roman"/>
          <w:sz w:val="20"/>
          <w:szCs w:val="20"/>
          <w:shd w:val="clear" w:color="auto" w:fill="FFFFFF"/>
        </w:rPr>
        <w:t>,</w:t>
      </w:r>
      <w:r w:rsidR="00E37362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E37362" w:rsidRPr="00BD25F3">
        <w:rPr>
          <w:rFonts w:ascii="Verdana" w:hAnsi="Verdana" w:cs="Times New Roman"/>
          <w:sz w:val="20"/>
          <w:szCs w:val="20"/>
          <w:shd w:val="clear" w:color="auto" w:fill="FFFFFF"/>
        </w:rPr>
        <w:t>Analytical Thinking</w:t>
      </w:r>
      <w:r w:rsidR="003D2759" w:rsidRPr="007E6E7E">
        <w:rPr>
          <w:rFonts w:ascii="Verdana" w:hAnsi="Verdana" w:cs="Times New Roman"/>
          <w:sz w:val="20"/>
          <w:szCs w:val="20"/>
          <w:shd w:val="clear" w:color="auto" w:fill="FFFFFF"/>
        </w:rPr>
        <w:t>).</w:t>
      </w:r>
      <w:r w:rsidR="000B24D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</w:p>
    <w:p w14:paraId="3C680B9F" w14:textId="77777777" w:rsidR="00A744DB" w:rsidRPr="00987394" w:rsidRDefault="00A744DB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1DF5524D" w14:textId="365B36CB" w:rsidR="00273D9B" w:rsidRPr="00987394" w:rsidRDefault="000B3054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987394">
        <w:rPr>
          <w:rFonts w:ascii="Verdana" w:hAnsi="Verdana" w:cs="Times New Roman"/>
          <w:sz w:val="20"/>
          <w:szCs w:val="20"/>
        </w:rPr>
        <w:t xml:space="preserve">The </w:t>
      </w:r>
      <w:r w:rsidR="00973172" w:rsidRPr="00BD25F3">
        <w:rPr>
          <w:rFonts w:ascii="Verdana" w:hAnsi="Verdana" w:cs="Times New Roman"/>
          <w:sz w:val="20"/>
          <w:szCs w:val="20"/>
          <w:shd w:val="clear" w:color="auto" w:fill="FFFFFF"/>
        </w:rPr>
        <w:t>Arts and Humanities</w:t>
      </w:r>
      <w:r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 xml:space="preserve"> 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category was sometimes named </w:t>
      </w:r>
      <w:r w:rsidR="007A595A" w:rsidRPr="00BD25F3">
        <w:rPr>
          <w:rFonts w:ascii="Verdana" w:hAnsi="Verdana" w:cs="Times New Roman"/>
          <w:sz w:val="20"/>
          <w:szCs w:val="20"/>
          <w:shd w:val="clear" w:color="auto" w:fill="FFFFFF"/>
        </w:rPr>
        <w:t xml:space="preserve">Fine Arts </w:t>
      </w:r>
      <w:r w:rsidR="00973172" w:rsidRPr="00BD25F3">
        <w:rPr>
          <w:rFonts w:ascii="Verdana" w:hAnsi="Verdana" w:cs="Times New Roman"/>
          <w:sz w:val="20"/>
          <w:szCs w:val="20"/>
          <w:shd w:val="clear" w:color="auto" w:fill="FFFFFF"/>
        </w:rPr>
        <w:t>and</w:t>
      </w:r>
      <w:r w:rsidR="007A595A" w:rsidRPr="00BD25F3">
        <w:rPr>
          <w:rFonts w:ascii="Verdana" w:hAnsi="Verdana" w:cs="Times New Roman"/>
          <w:sz w:val="20"/>
          <w:szCs w:val="20"/>
          <w:shd w:val="clear" w:color="auto" w:fill="FFFFFF"/>
        </w:rPr>
        <w:t xml:space="preserve"> Humanities</w:t>
      </w:r>
      <w:r w:rsidR="007A595A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or </w:t>
      </w:r>
      <w:r w:rsidR="007A595A" w:rsidRPr="00BD25F3">
        <w:rPr>
          <w:rFonts w:ascii="Verdana" w:hAnsi="Verdana" w:cs="Times New Roman"/>
          <w:sz w:val="20"/>
          <w:szCs w:val="20"/>
          <w:shd w:val="clear" w:color="auto" w:fill="FFFFFF"/>
        </w:rPr>
        <w:t>Humanities/Fine Arts</w:t>
      </w:r>
      <w:r w:rsidR="002561CB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. A </w:t>
      </w:r>
      <w:r w:rsidR="00F122A6" w:rsidRPr="00987394">
        <w:rPr>
          <w:rFonts w:ascii="Verdana" w:hAnsi="Verdana" w:cs="Times New Roman"/>
          <w:sz w:val="20"/>
          <w:szCs w:val="20"/>
          <w:shd w:val="clear" w:color="auto" w:fill="FFFFFF"/>
        </w:rPr>
        <w:t>few</w:t>
      </w:r>
      <w:r w:rsidR="004535E9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76434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colleges </w:t>
      </w:r>
      <w:r w:rsidR="00FD7318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called it simply </w:t>
      </w:r>
      <w:r w:rsidR="00E56703" w:rsidRPr="00BD25F3">
        <w:rPr>
          <w:rFonts w:ascii="Verdana" w:hAnsi="Verdana" w:cs="Times New Roman"/>
          <w:sz w:val="20"/>
          <w:szCs w:val="20"/>
          <w:shd w:val="clear" w:color="auto" w:fill="FFFFFF"/>
        </w:rPr>
        <w:t>Humanities</w:t>
      </w:r>
      <w:r w:rsidR="00E56703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but</w:t>
      </w:r>
      <w:r w:rsidR="002D6A6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4535E9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included arts courses in </w:t>
      </w:r>
      <w:r w:rsidR="00E56703" w:rsidRPr="00987394">
        <w:rPr>
          <w:rFonts w:ascii="Verdana" w:hAnsi="Verdana" w:cs="Times New Roman"/>
          <w:sz w:val="20"/>
          <w:szCs w:val="20"/>
          <w:shd w:val="clear" w:color="auto" w:fill="FFFFFF"/>
        </w:rPr>
        <w:t>this group</w:t>
      </w:r>
      <w:r w:rsidR="004535E9" w:rsidRPr="00987394">
        <w:rPr>
          <w:rFonts w:ascii="Verdana" w:hAnsi="Verdana" w:cs="Times New Roman"/>
          <w:sz w:val="20"/>
          <w:szCs w:val="20"/>
          <w:shd w:val="clear" w:color="auto" w:fill="FFFFFF"/>
        </w:rPr>
        <w:t>.</w:t>
      </w:r>
      <w:r w:rsidR="002D6A6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FD7318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Other 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>variations included</w:t>
      </w:r>
      <w:r w:rsidR="002D6A6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2D6A60" w:rsidRPr="00BD25F3">
        <w:rPr>
          <w:rFonts w:ascii="Verdana" w:hAnsi="Verdana" w:cs="Times New Roman"/>
          <w:sz w:val="20"/>
          <w:szCs w:val="20"/>
          <w:shd w:val="clear" w:color="auto" w:fill="FFFFFF"/>
        </w:rPr>
        <w:t>Arts and Letters</w:t>
      </w:r>
      <w:r w:rsidR="002D6A60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; </w:t>
      </w:r>
      <w:r w:rsidR="00E8400A" w:rsidRPr="00BD25F3">
        <w:rPr>
          <w:rFonts w:ascii="Verdana" w:hAnsi="Verdana" w:cs="Times New Roman"/>
          <w:sz w:val="20"/>
          <w:szCs w:val="20"/>
          <w:shd w:val="clear" w:color="auto" w:fill="FFFFFF"/>
        </w:rPr>
        <w:t>Humanities</w:t>
      </w:r>
      <w:r w:rsidR="002D6A60" w:rsidRPr="00BD25F3">
        <w:rPr>
          <w:rFonts w:ascii="Verdana" w:hAnsi="Verdana" w:cs="Times New Roman"/>
          <w:sz w:val="20"/>
          <w:szCs w:val="20"/>
          <w:shd w:val="clear" w:color="auto" w:fill="FFFFFF"/>
        </w:rPr>
        <w:t>, Arts, and Design</w:t>
      </w:r>
      <w:r w:rsidR="002D6A60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; </w:t>
      </w:r>
      <w:r w:rsidR="007C236A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and </w:t>
      </w:r>
      <w:r w:rsidR="00EC2E3E" w:rsidRPr="00BD25F3">
        <w:rPr>
          <w:rFonts w:ascii="Verdana" w:hAnsi="Verdana" w:cs="Times New Roman"/>
          <w:sz w:val="20"/>
          <w:szCs w:val="20"/>
          <w:shd w:val="clear" w:color="auto" w:fill="FFFFFF"/>
        </w:rPr>
        <w:t>Humanities, Literature, and Fine Arts</w:t>
      </w:r>
      <w:r w:rsidR="007C236A"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 xml:space="preserve">. </w:t>
      </w:r>
      <w:r w:rsidR="00E8400A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About </w:t>
      </w:r>
      <w:r w:rsidR="007C236A" w:rsidRPr="00987394">
        <w:rPr>
          <w:rFonts w:ascii="Verdana" w:hAnsi="Verdana" w:cs="Times New Roman"/>
          <w:sz w:val="20"/>
          <w:szCs w:val="20"/>
          <w:shd w:val="clear" w:color="auto" w:fill="FFFFFF"/>
        </w:rPr>
        <w:t>a third</w:t>
      </w:r>
      <w:r w:rsidR="00E8400A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had 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>separate</w:t>
      </w:r>
      <w:r w:rsidR="00E8400A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164891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categories </w:t>
      </w:r>
      <w:r w:rsidR="007C236A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for humanities and arts courses with 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specified requirements </w:t>
      </w:r>
      <w:r w:rsidR="007C236A" w:rsidRPr="00987394">
        <w:rPr>
          <w:rFonts w:ascii="Verdana" w:hAnsi="Verdana" w:cs="Times New Roman"/>
          <w:sz w:val="20"/>
          <w:szCs w:val="20"/>
          <w:shd w:val="clear" w:color="auto" w:fill="FFFFFF"/>
        </w:rPr>
        <w:t>for each</w:t>
      </w:r>
      <w:r w:rsidR="00164891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(e.g., </w:t>
      </w:r>
      <w:r w:rsidR="007B2353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one large southern college called for </w:t>
      </w:r>
      <w:r w:rsidR="006523DE" w:rsidRPr="00987394">
        <w:rPr>
          <w:rFonts w:ascii="Verdana" w:hAnsi="Verdana" w:cs="Times New Roman"/>
          <w:sz w:val="20"/>
          <w:szCs w:val="20"/>
          <w:shd w:val="clear" w:color="auto" w:fill="FFFFFF"/>
        </w:rPr>
        <w:t>a course i</w:t>
      </w:r>
      <w:r w:rsidR="007B2353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n </w:t>
      </w:r>
      <w:r w:rsidR="007B2353" w:rsidRPr="00BD25F3">
        <w:rPr>
          <w:rFonts w:ascii="Verdana" w:hAnsi="Verdana" w:cs="Times New Roman"/>
          <w:sz w:val="20"/>
          <w:szCs w:val="20"/>
          <w:shd w:val="clear" w:color="auto" w:fill="FFFFFF"/>
        </w:rPr>
        <w:t>Creative Arts</w:t>
      </w:r>
      <w:r w:rsidR="007B2353"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 xml:space="preserve"> </w:t>
      </w:r>
      <w:r w:rsidR="007B2353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and </w:t>
      </w:r>
      <w:r w:rsidR="006523DE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one </w:t>
      </w:r>
      <w:r w:rsidR="007B2353" w:rsidRPr="00987394">
        <w:rPr>
          <w:rFonts w:ascii="Verdana" w:hAnsi="Verdana" w:cs="Times New Roman"/>
          <w:sz w:val="20"/>
          <w:szCs w:val="20"/>
          <w:shd w:val="clear" w:color="auto" w:fill="FFFFFF"/>
        </w:rPr>
        <w:t>in</w:t>
      </w:r>
      <w:r w:rsidR="007B2353"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 xml:space="preserve"> </w:t>
      </w:r>
      <w:r w:rsidR="007B2353" w:rsidRPr="00BD25F3">
        <w:rPr>
          <w:rFonts w:ascii="Verdana" w:hAnsi="Verdana" w:cs="Times New Roman"/>
          <w:sz w:val="20"/>
          <w:szCs w:val="20"/>
          <w:shd w:val="clear" w:color="auto" w:fill="FFFFFF"/>
        </w:rPr>
        <w:t xml:space="preserve">Language, Philosophy, </w:t>
      </w:r>
      <w:r w:rsidR="007E6E7E">
        <w:rPr>
          <w:rFonts w:ascii="Verdana" w:hAnsi="Verdana" w:cs="Times New Roman"/>
          <w:sz w:val="20"/>
          <w:szCs w:val="20"/>
          <w:shd w:val="clear" w:color="auto" w:fill="FFFFFF"/>
        </w:rPr>
        <w:t>and</w:t>
      </w:r>
      <w:r w:rsidR="007B2353" w:rsidRPr="00BD25F3">
        <w:rPr>
          <w:rFonts w:ascii="Verdana" w:hAnsi="Verdana" w:cs="Times New Roman"/>
          <w:sz w:val="20"/>
          <w:szCs w:val="20"/>
          <w:shd w:val="clear" w:color="auto" w:fill="FFFFFF"/>
        </w:rPr>
        <w:t xml:space="preserve"> Culture</w:t>
      </w:r>
      <w:r w:rsidR="007B2353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). 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>Overall, most</w:t>
      </w:r>
      <w:r w:rsidR="007B2353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used the </w:t>
      </w:r>
      <w:r w:rsidR="003D04B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title </w:t>
      </w:r>
      <w:r w:rsidR="003D04B0" w:rsidRPr="00BD25F3">
        <w:rPr>
          <w:rFonts w:ascii="Verdana" w:hAnsi="Verdana" w:cs="Times New Roman"/>
          <w:sz w:val="20"/>
          <w:szCs w:val="20"/>
          <w:shd w:val="clear" w:color="auto" w:fill="FFFFFF"/>
        </w:rPr>
        <w:t>Arts and Humanities</w:t>
      </w:r>
      <w:r w:rsidR="003D04B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="007B2353" w:rsidRPr="00987394">
        <w:rPr>
          <w:rFonts w:ascii="Verdana" w:hAnsi="Verdana" w:cs="Times New Roman"/>
          <w:sz w:val="20"/>
          <w:szCs w:val="20"/>
          <w:shd w:val="clear" w:color="auto" w:fill="FFFFFF"/>
        </w:rPr>
        <w:t>or vice versa</w:t>
      </w:r>
      <w:r w:rsidR="00A17C74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. </w:t>
      </w:r>
    </w:p>
    <w:p w14:paraId="127C57B0" w14:textId="77777777" w:rsidR="00A744DB" w:rsidRPr="00987394" w:rsidRDefault="00A744DB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6822CDEC" w14:textId="5A1FD6B2" w:rsidR="00FD7318" w:rsidRPr="00987394" w:rsidRDefault="00D01E8B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The area of </w:t>
      </w:r>
      <w:r w:rsidR="00F122A6" w:rsidRPr="00BD25F3">
        <w:rPr>
          <w:rFonts w:ascii="Verdana" w:hAnsi="Verdana" w:cs="Times New Roman"/>
          <w:sz w:val="20"/>
          <w:szCs w:val="20"/>
          <w:shd w:val="clear" w:color="auto" w:fill="FFFFFF"/>
        </w:rPr>
        <w:t>Social and Behavioral Sciences</w:t>
      </w:r>
      <w:r w:rsidR="00A16857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was 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more </w:t>
      </w:r>
      <w:r w:rsidR="00A16857" w:rsidRPr="00987394">
        <w:rPr>
          <w:rFonts w:ascii="Verdana" w:hAnsi="Verdana" w:cs="Times New Roman"/>
          <w:sz w:val="20"/>
          <w:szCs w:val="20"/>
          <w:shd w:val="clear" w:color="auto" w:fill="FFFFFF"/>
        </w:rPr>
        <w:t>consistently titled</w:t>
      </w:r>
      <w:r w:rsidR="00E8595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, with most </w:t>
      </w:r>
      <w:r w:rsidR="00473AEF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using </w:t>
      </w:r>
      <w:r w:rsidR="00E85952" w:rsidRPr="00987394">
        <w:rPr>
          <w:rFonts w:ascii="Verdana" w:hAnsi="Verdana" w:cs="Times New Roman"/>
          <w:sz w:val="20"/>
          <w:szCs w:val="20"/>
          <w:shd w:val="clear" w:color="auto" w:fill="FFFFFF"/>
        </w:rPr>
        <w:t>this specific nomenclature. Se</w:t>
      </w:r>
      <w:r w:rsidR="00A16857" w:rsidRPr="00987394">
        <w:rPr>
          <w:rFonts w:ascii="Verdana" w:hAnsi="Verdana" w:cs="Times New Roman"/>
          <w:sz w:val="20"/>
          <w:szCs w:val="20"/>
          <w:shd w:val="clear" w:color="auto" w:fill="FFFFFF"/>
        </w:rPr>
        <w:t>ven institutions referred to this category simply a</w:t>
      </w:r>
      <w:r w:rsidR="00FD7318" w:rsidRPr="00987394">
        <w:rPr>
          <w:rFonts w:ascii="Verdana" w:hAnsi="Verdana" w:cs="Times New Roman"/>
          <w:sz w:val="20"/>
          <w:szCs w:val="20"/>
          <w:shd w:val="clear" w:color="auto" w:fill="FFFFFF"/>
        </w:rPr>
        <w:t>s</w:t>
      </w:r>
      <w:r w:rsidR="00A16857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A16857" w:rsidRPr="00BD25F3">
        <w:rPr>
          <w:rFonts w:ascii="Verdana" w:hAnsi="Verdana" w:cs="Times New Roman"/>
          <w:sz w:val="20"/>
          <w:szCs w:val="20"/>
          <w:shd w:val="clear" w:color="auto" w:fill="FFFFFF"/>
        </w:rPr>
        <w:t>Social Science</w:t>
      </w:r>
      <w:r w:rsidR="00A16857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or </w:t>
      </w:r>
      <w:r w:rsidR="00A16857" w:rsidRPr="00BD25F3">
        <w:rPr>
          <w:rFonts w:ascii="Verdana" w:hAnsi="Verdana" w:cs="Times New Roman"/>
          <w:sz w:val="20"/>
          <w:szCs w:val="20"/>
          <w:shd w:val="clear" w:color="auto" w:fill="FFFFFF"/>
        </w:rPr>
        <w:t xml:space="preserve">Social </w:t>
      </w:r>
      <w:r w:rsidR="0023737E" w:rsidRPr="00BD25F3">
        <w:rPr>
          <w:rFonts w:ascii="Verdana" w:hAnsi="Verdana" w:cs="Times New Roman"/>
          <w:sz w:val="20"/>
          <w:szCs w:val="20"/>
          <w:shd w:val="clear" w:color="auto" w:fill="FFFFFF"/>
        </w:rPr>
        <w:t>Sciences</w:t>
      </w:r>
      <w:r w:rsidR="0023737E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but</w:t>
      </w:r>
      <w:r w:rsidR="00A16857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included behavior</w:t>
      </w:r>
      <w:r w:rsidR="00516E3F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al </w:t>
      </w:r>
      <w:r w:rsidR="00A16857" w:rsidRPr="00987394">
        <w:rPr>
          <w:rFonts w:ascii="Verdana" w:hAnsi="Verdana" w:cs="Times New Roman"/>
          <w:sz w:val="20"/>
          <w:szCs w:val="20"/>
          <w:shd w:val="clear" w:color="auto" w:fill="FFFFFF"/>
        </w:rPr>
        <w:t>science courses. Many colleges also included</w:t>
      </w:r>
      <w:r w:rsidR="00516E3F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courses in</w:t>
      </w:r>
      <w:r w:rsidR="002561CB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A16857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economics, history, political </w:t>
      </w:r>
      <w:r w:rsidR="00681577" w:rsidRPr="00987394">
        <w:rPr>
          <w:rFonts w:ascii="Verdana" w:hAnsi="Verdana" w:cs="Times New Roman"/>
          <w:sz w:val="20"/>
          <w:szCs w:val="20"/>
          <w:shd w:val="clear" w:color="auto" w:fill="FFFFFF"/>
        </w:rPr>
        <w:t>science,</w:t>
      </w:r>
      <w:r w:rsidR="00A16857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and government </w:t>
      </w:r>
      <w:r w:rsidR="002561CB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among </w:t>
      </w:r>
      <w:r w:rsidR="00516E3F" w:rsidRPr="00987394">
        <w:rPr>
          <w:rFonts w:ascii="Verdana" w:hAnsi="Verdana" w:cs="Times New Roman"/>
          <w:sz w:val="20"/>
          <w:szCs w:val="20"/>
          <w:shd w:val="clear" w:color="auto" w:fill="FFFFFF"/>
        </w:rPr>
        <w:t>options for this category</w:t>
      </w:r>
      <w:r w:rsidR="002561CB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, but </w:t>
      </w:r>
      <w:r w:rsidR="00FD7318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nine </w:t>
      </w:r>
      <w:r w:rsidR="00516E3F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colleges </w:t>
      </w:r>
      <w:r w:rsidR="00FD7318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set aside </w:t>
      </w:r>
      <w:r w:rsidR="00FD7318" w:rsidRPr="00BD25F3">
        <w:rPr>
          <w:rFonts w:ascii="Verdana" w:hAnsi="Verdana" w:cs="Times New Roman"/>
          <w:sz w:val="20"/>
          <w:szCs w:val="20"/>
          <w:shd w:val="clear" w:color="auto" w:fill="FFFFFF"/>
        </w:rPr>
        <w:t>History</w:t>
      </w:r>
      <w:r w:rsidR="00FD7318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516E3F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or </w:t>
      </w:r>
      <w:r w:rsidR="00516E3F" w:rsidRPr="00BD25F3">
        <w:rPr>
          <w:rFonts w:ascii="Verdana" w:hAnsi="Verdana" w:cs="Times New Roman"/>
          <w:sz w:val="20"/>
          <w:szCs w:val="20"/>
          <w:shd w:val="clear" w:color="auto" w:fill="FFFFFF"/>
        </w:rPr>
        <w:t>History/Government</w:t>
      </w:r>
      <w:r w:rsidR="00516E3F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E8595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as a separate category </w:t>
      </w:r>
      <w:r w:rsidR="008D489C" w:rsidRPr="00987394">
        <w:rPr>
          <w:rFonts w:ascii="Verdana" w:hAnsi="Verdana" w:cs="Times New Roman"/>
          <w:sz w:val="20"/>
          <w:szCs w:val="20"/>
          <w:shd w:val="clear" w:color="auto" w:fill="FFFFFF"/>
        </w:rPr>
        <w:t>wit</w:t>
      </w:r>
      <w:r w:rsidR="00FD7318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h its own </w:t>
      </w:r>
      <w:r w:rsidR="00516E3F" w:rsidRPr="00987394">
        <w:rPr>
          <w:rFonts w:ascii="Verdana" w:hAnsi="Verdana" w:cs="Times New Roman"/>
          <w:sz w:val="20"/>
          <w:szCs w:val="20"/>
          <w:shd w:val="clear" w:color="auto" w:fill="FFFFFF"/>
        </w:rPr>
        <w:t>set</w:t>
      </w:r>
      <w:r w:rsidR="00FD7318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of requirements. </w:t>
      </w:r>
    </w:p>
    <w:p w14:paraId="16C28E08" w14:textId="77777777" w:rsidR="00A744DB" w:rsidRPr="00987394" w:rsidRDefault="00A744DB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468CB2F3" w14:textId="7FA2772A" w:rsidR="008D489C" w:rsidRPr="00987394" w:rsidRDefault="005A3F3A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BD25F3">
        <w:rPr>
          <w:rFonts w:ascii="Verdana" w:hAnsi="Verdana" w:cs="Times New Roman"/>
          <w:sz w:val="20"/>
          <w:szCs w:val="20"/>
          <w:shd w:val="clear" w:color="auto" w:fill="FFFFFF"/>
        </w:rPr>
        <w:t>Natural Sciences</w:t>
      </w:r>
      <w:r w:rsidR="007102D8" w:rsidRPr="00150A87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7102D8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was the most common </w:t>
      </w:r>
      <w:r w:rsidR="00ED73F5" w:rsidRPr="00987394">
        <w:rPr>
          <w:rFonts w:ascii="Verdana" w:hAnsi="Verdana" w:cs="Times New Roman"/>
          <w:sz w:val="20"/>
          <w:szCs w:val="20"/>
          <w:shd w:val="clear" w:color="auto" w:fill="FFFFFF"/>
        </w:rPr>
        <w:t>designation</w:t>
      </w:r>
      <w:r w:rsidR="007102D8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for science requirements. Other variations were </w:t>
      </w:r>
      <w:r w:rsidR="00FD7318" w:rsidRPr="00BD25F3">
        <w:rPr>
          <w:rFonts w:ascii="Verdana" w:hAnsi="Verdana" w:cs="Times New Roman"/>
          <w:sz w:val="20"/>
          <w:szCs w:val="20"/>
          <w:shd w:val="clear" w:color="auto" w:fill="FFFFFF"/>
        </w:rPr>
        <w:t>Natural and Physical Sciences</w:t>
      </w:r>
      <w:r w:rsidR="00FD7318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="00D0592B" w:rsidRPr="00BD25F3">
        <w:rPr>
          <w:rFonts w:ascii="Verdana" w:hAnsi="Verdana" w:cs="Times New Roman"/>
          <w:sz w:val="20"/>
          <w:szCs w:val="20"/>
          <w:shd w:val="clear" w:color="auto" w:fill="FFFFFF"/>
        </w:rPr>
        <w:t>Life and Physical Sciences</w:t>
      </w:r>
      <w:r w:rsidR="00D0592B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 (or vice versa),</w:t>
      </w:r>
      <w:r w:rsidR="007102D8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7102D8" w:rsidRPr="00BD25F3">
        <w:rPr>
          <w:rFonts w:ascii="Verdana" w:hAnsi="Verdana" w:cs="Times New Roman"/>
          <w:sz w:val="20"/>
          <w:szCs w:val="20"/>
          <w:shd w:val="clear" w:color="auto" w:fill="FFFFFF"/>
        </w:rPr>
        <w:t>Scientific Ways of Knowing</w:t>
      </w:r>
      <w:r w:rsidR="007102D8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, and simply </w:t>
      </w:r>
      <w:r w:rsidR="007102D8" w:rsidRPr="00BD25F3">
        <w:rPr>
          <w:rFonts w:ascii="Verdana" w:hAnsi="Verdana" w:cs="Times New Roman"/>
          <w:sz w:val="20"/>
          <w:szCs w:val="20"/>
          <w:shd w:val="clear" w:color="auto" w:fill="FFFFFF"/>
        </w:rPr>
        <w:t>Science</w:t>
      </w:r>
      <w:r w:rsidR="007102D8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. </w:t>
      </w:r>
    </w:p>
    <w:p w14:paraId="6963B062" w14:textId="77777777" w:rsidR="00A744DB" w:rsidRPr="00987394" w:rsidRDefault="00A744DB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1CD778D1" w14:textId="61BAD90D" w:rsidR="008D489C" w:rsidRPr="00987394" w:rsidRDefault="005A3F3A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BD25F3">
        <w:rPr>
          <w:rFonts w:ascii="Verdana" w:hAnsi="Verdana" w:cs="Times New Roman"/>
          <w:sz w:val="20"/>
          <w:szCs w:val="20"/>
          <w:shd w:val="clear" w:color="auto" w:fill="FFFFFF"/>
        </w:rPr>
        <w:t>Mathematics</w:t>
      </w:r>
      <w:r w:rsidR="000947C7" w:rsidRPr="00150A87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8D489C" w:rsidRPr="00987394">
        <w:rPr>
          <w:rFonts w:ascii="Verdana" w:hAnsi="Verdana" w:cs="Times New Roman"/>
          <w:sz w:val="20"/>
          <w:szCs w:val="20"/>
          <w:shd w:val="clear" w:color="auto" w:fill="FFFFFF"/>
        </w:rPr>
        <w:t>was th</w:t>
      </w:r>
      <w:r w:rsidR="000947C7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e most consistently named category, with </w:t>
      </w:r>
      <w:r w:rsidR="008D489C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25 </w:t>
      </w:r>
      <w:r w:rsidR="00E8595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of the 30 </w:t>
      </w:r>
      <w:r w:rsidR="008D489C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colleges </w:t>
      </w:r>
      <w:r w:rsidR="00AE4B7E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using this title or the condensed </w:t>
      </w:r>
      <w:r w:rsidR="008D489C" w:rsidRPr="00BD25F3">
        <w:rPr>
          <w:rFonts w:ascii="Verdana" w:hAnsi="Verdana" w:cs="Times New Roman"/>
          <w:sz w:val="20"/>
          <w:szCs w:val="20"/>
          <w:shd w:val="clear" w:color="auto" w:fill="FFFFFF"/>
        </w:rPr>
        <w:t>Math</w:t>
      </w:r>
      <w:r w:rsidR="008D489C" w:rsidRPr="007E6E7E">
        <w:rPr>
          <w:rFonts w:ascii="Verdana" w:hAnsi="Verdana" w:cs="Times New Roman"/>
          <w:sz w:val="20"/>
          <w:szCs w:val="20"/>
          <w:shd w:val="clear" w:color="auto" w:fill="FFFFFF"/>
        </w:rPr>
        <w:t>.</w:t>
      </w:r>
      <w:r w:rsidR="00232B3A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AE4B7E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This GE group was otherwise titled </w:t>
      </w:r>
      <w:r w:rsidR="00232B3A" w:rsidRPr="00BD25F3">
        <w:rPr>
          <w:rFonts w:ascii="Verdana" w:hAnsi="Verdana" w:cs="Times New Roman"/>
          <w:sz w:val="20"/>
          <w:szCs w:val="20"/>
          <w:shd w:val="clear" w:color="auto" w:fill="FFFFFF"/>
        </w:rPr>
        <w:t xml:space="preserve">Mathematical Ways of Knowing, Mathematics/Quantitative </w:t>
      </w:r>
      <w:r w:rsidR="00AE4B7E" w:rsidRPr="00BD25F3">
        <w:rPr>
          <w:rFonts w:ascii="Verdana" w:hAnsi="Verdana" w:cs="Times New Roman"/>
          <w:sz w:val="20"/>
          <w:szCs w:val="20"/>
          <w:shd w:val="clear" w:color="auto" w:fill="FFFFFF"/>
        </w:rPr>
        <w:t>Reasoning</w:t>
      </w:r>
      <w:r w:rsidR="00232B3A" w:rsidRPr="00BD25F3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="00AE4B7E" w:rsidRPr="00BD25F3">
        <w:rPr>
          <w:rFonts w:ascii="Verdana" w:hAnsi="Verdana" w:cs="Times New Roman"/>
          <w:sz w:val="20"/>
          <w:szCs w:val="20"/>
          <w:shd w:val="clear" w:color="auto" w:fill="FFFFFF"/>
        </w:rPr>
        <w:t>Quantitative</w:t>
      </w:r>
      <w:r w:rsidR="00232B3A" w:rsidRPr="00BD25F3">
        <w:rPr>
          <w:rFonts w:ascii="Verdana" w:hAnsi="Verdana" w:cs="Times New Roman"/>
          <w:sz w:val="20"/>
          <w:szCs w:val="20"/>
          <w:shd w:val="clear" w:color="auto" w:fill="FFFFFF"/>
        </w:rPr>
        <w:t xml:space="preserve"> Literacy, </w:t>
      </w:r>
      <w:r w:rsidR="00B030CD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or </w:t>
      </w:r>
      <w:r w:rsidR="00AE4B7E" w:rsidRPr="00BD25F3">
        <w:rPr>
          <w:rFonts w:ascii="Verdana" w:hAnsi="Verdana" w:cs="Times New Roman"/>
          <w:sz w:val="20"/>
          <w:szCs w:val="20"/>
          <w:shd w:val="clear" w:color="auto" w:fill="FFFFFF"/>
        </w:rPr>
        <w:t>Quantitative</w:t>
      </w:r>
      <w:r w:rsidR="00232B3A" w:rsidRPr="00BD25F3">
        <w:rPr>
          <w:rFonts w:ascii="Verdana" w:hAnsi="Verdana" w:cs="Times New Roman"/>
          <w:sz w:val="20"/>
          <w:szCs w:val="20"/>
          <w:shd w:val="clear" w:color="auto" w:fill="FFFFFF"/>
        </w:rPr>
        <w:t xml:space="preserve"> Reasoning</w:t>
      </w:r>
      <w:r w:rsidR="00AE4B7E" w:rsidRPr="00BD25F3">
        <w:rPr>
          <w:rFonts w:ascii="Verdana" w:hAnsi="Verdana" w:cs="Times New Roman"/>
          <w:sz w:val="20"/>
          <w:szCs w:val="20"/>
          <w:shd w:val="clear" w:color="auto" w:fill="FFFFFF"/>
        </w:rPr>
        <w:t xml:space="preserve">. </w:t>
      </w:r>
      <w:r w:rsidR="00B030CD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Three colleges </w:t>
      </w:r>
      <w:r w:rsidR="00A10E8E" w:rsidRPr="007E6E7E">
        <w:rPr>
          <w:rFonts w:ascii="Verdana" w:hAnsi="Verdana" w:cs="Times New Roman"/>
          <w:sz w:val="20"/>
          <w:szCs w:val="20"/>
          <w:shd w:val="clear" w:color="auto" w:fill="FFFFFF"/>
        </w:rPr>
        <w:t>listed</w:t>
      </w:r>
      <w:r w:rsidR="00B030CD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B030CD" w:rsidRPr="00BD25F3">
        <w:rPr>
          <w:rFonts w:ascii="Verdana" w:hAnsi="Verdana" w:cs="Times New Roman"/>
          <w:sz w:val="20"/>
          <w:szCs w:val="20"/>
          <w:shd w:val="clear" w:color="auto" w:fill="FFFFFF"/>
        </w:rPr>
        <w:t>Natural Sciences and Mathematics</w:t>
      </w:r>
      <w:r w:rsidR="00ED73F5"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 xml:space="preserve"> </w:t>
      </w:r>
      <w:r w:rsidR="00136ED4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as a single </w:t>
      </w:r>
      <w:r w:rsidR="00ED73F5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GE </w:t>
      </w:r>
      <w:r w:rsidR="008D6477" w:rsidRPr="00987394">
        <w:rPr>
          <w:rFonts w:ascii="Verdana" w:hAnsi="Verdana" w:cs="Times New Roman"/>
          <w:sz w:val="20"/>
          <w:szCs w:val="20"/>
          <w:shd w:val="clear" w:color="auto" w:fill="FFFFFF"/>
        </w:rPr>
        <w:t>category</w:t>
      </w:r>
      <w:r w:rsidR="00150A87">
        <w:rPr>
          <w:rFonts w:ascii="Verdana" w:hAnsi="Verdana" w:cs="Times New Roman"/>
          <w:sz w:val="20"/>
          <w:szCs w:val="20"/>
          <w:shd w:val="clear" w:color="auto" w:fill="FFFFFF"/>
        </w:rPr>
        <w:t>,</w:t>
      </w:r>
      <w:r w:rsidR="008D6477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but</w:t>
      </w:r>
      <w:r w:rsidR="00ED73F5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outlined specific math requirements</w:t>
      </w:r>
      <w:r w:rsidR="00A10E8E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within it.</w:t>
      </w:r>
      <w:r w:rsidR="00ED73F5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</w:p>
    <w:p w14:paraId="036AE286" w14:textId="77777777" w:rsidR="00A744DB" w:rsidRPr="00987394" w:rsidRDefault="00A744DB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027AC9E9" w14:textId="7A755C82" w:rsidR="00F35552" w:rsidRPr="00987394" w:rsidRDefault="0029750A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</w:pPr>
      <w:r w:rsidRPr="00987394">
        <w:rPr>
          <w:rFonts w:ascii="Verdana" w:hAnsi="Verdana" w:cs="Times New Roman"/>
          <w:sz w:val="20"/>
          <w:szCs w:val="20"/>
        </w:rPr>
        <w:t>A few</w:t>
      </w:r>
      <w:r w:rsidR="00770B32" w:rsidRPr="00987394">
        <w:rPr>
          <w:rFonts w:ascii="Verdana" w:hAnsi="Verdana" w:cs="Times New Roman"/>
          <w:sz w:val="20"/>
          <w:szCs w:val="20"/>
        </w:rPr>
        <w:t xml:space="preserve"> colleges</w:t>
      </w:r>
      <w:r w:rsidRPr="00987394">
        <w:rPr>
          <w:rFonts w:ascii="Verdana" w:hAnsi="Verdana" w:cs="Times New Roman"/>
          <w:sz w:val="20"/>
          <w:szCs w:val="20"/>
        </w:rPr>
        <w:t xml:space="preserve"> had GE</w:t>
      </w:r>
      <w:r w:rsidR="00770B32" w:rsidRPr="00987394">
        <w:rPr>
          <w:rFonts w:ascii="Verdana" w:hAnsi="Verdana" w:cs="Times New Roman"/>
          <w:sz w:val="20"/>
          <w:szCs w:val="20"/>
        </w:rPr>
        <w:t xml:space="preserve"> categories </w:t>
      </w:r>
      <w:r w:rsidR="00080AB2" w:rsidRPr="00987394">
        <w:rPr>
          <w:rFonts w:ascii="Verdana" w:hAnsi="Verdana" w:cs="Times New Roman"/>
          <w:sz w:val="20"/>
          <w:szCs w:val="20"/>
        </w:rPr>
        <w:t>other than</w:t>
      </w:r>
      <w:r w:rsidRPr="00987394">
        <w:rPr>
          <w:rFonts w:ascii="Verdana" w:hAnsi="Verdana" w:cs="Times New Roman"/>
          <w:sz w:val="20"/>
          <w:szCs w:val="20"/>
        </w:rPr>
        <w:t xml:space="preserve"> these five</w:t>
      </w:r>
      <w:r w:rsidR="00A10E8E" w:rsidRPr="00987394">
        <w:rPr>
          <w:rFonts w:ascii="Verdana" w:hAnsi="Verdana" w:cs="Times New Roman"/>
          <w:sz w:val="20"/>
          <w:szCs w:val="20"/>
        </w:rPr>
        <w:t xml:space="preserve"> major groupings</w:t>
      </w:r>
      <w:r w:rsidRPr="00987394">
        <w:rPr>
          <w:rFonts w:ascii="Verdana" w:hAnsi="Verdana" w:cs="Times New Roman"/>
          <w:sz w:val="20"/>
          <w:szCs w:val="20"/>
        </w:rPr>
        <w:t xml:space="preserve">. We </w:t>
      </w:r>
      <w:r w:rsidR="00D769BE" w:rsidRPr="00987394">
        <w:rPr>
          <w:rFonts w:ascii="Verdana" w:hAnsi="Verdana" w:cs="Times New Roman"/>
          <w:sz w:val="20"/>
          <w:szCs w:val="20"/>
        </w:rPr>
        <w:t>clustered</w:t>
      </w:r>
      <w:r w:rsidRPr="00987394">
        <w:rPr>
          <w:rFonts w:ascii="Verdana" w:hAnsi="Verdana" w:cs="Times New Roman"/>
          <w:sz w:val="20"/>
          <w:szCs w:val="20"/>
        </w:rPr>
        <w:t xml:space="preserve"> these</w:t>
      </w:r>
      <w:r w:rsidR="00561FC8" w:rsidRPr="00987394">
        <w:rPr>
          <w:rFonts w:ascii="Verdana" w:hAnsi="Verdana" w:cs="Times New Roman"/>
          <w:sz w:val="20"/>
          <w:szCs w:val="20"/>
        </w:rPr>
        <w:t xml:space="preserve"> f</w:t>
      </w:r>
      <w:r w:rsidRPr="00987394">
        <w:rPr>
          <w:rFonts w:ascii="Verdana" w:hAnsi="Verdana" w:cs="Times New Roman"/>
          <w:sz w:val="20"/>
          <w:szCs w:val="20"/>
        </w:rPr>
        <w:t>ollowing the pattern</w:t>
      </w:r>
      <w:r w:rsidR="00FE392B" w:rsidRPr="00987394">
        <w:rPr>
          <w:rFonts w:ascii="Verdana" w:hAnsi="Verdana" w:cs="Times New Roman"/>
          <w:sz w:val="20"/>
          <w:szCs w:val="20"/>
        </w:rPr>
        <w:t>s</w:t>
      </w:r>
      <w:r w:rsidRPr="00987394">
        <w:rPr>
          <w:rFonts w:ascii="Verdana" w:hAnsi="Verdana" w:cs="Times New Roman"/>
          <w:sz w:val="20"/>
          <w:szCs w:val="20"/>
        </w:rPr>
        <w:t xml:space="preserve"> of where </w:t>
      </w:r>
      <w:r w:rsidR="00B030CD" w:rsidRPr="00987394">
        <w:rPr>
          <w:rFonts w:ascii="Verdana" w:hAnsi="Verdana" w:cs="Times New Roman"/>
          <w:sz w:val="20"/>
          <w:szCs w:val="20"/>
        </w:rPr>
        <w:t>most</w:t>
      </w:r>
      <w:r w:rsidRPr="00987394">
        <w:rPr>
          <w:rFonts w:ascii="Verdana" w:hAnsi="Verdana" w:cs="Times New Roman"/>
          <w:sz w:val="20"/>
          <w:szCs w:val="20"/>
        </w:rPr>
        <w:t xml:space="preserve"> colleges placed the same or similarly named courses. </w:t>
      </w:r>
      <w:proofErr w:type="gramStart"/>
      <w:r w:rsidR="00A21305" w:rsidRPr="00987394">
        <w:rPr>
          <w:rFonts w:ascii="Verdana" w:hAnsi="Verdana" w:cs="Times New Roman"/>
          <w:sz w:val="20"/>
          <w:szCs w:val="20"/>
        </w:rPr>
        <w:t>With</w:t>
      </w:r>
      <w:proofErr w:type="gramEnd"/>
      <w:r w:rsidR="00A21305" w:rsidRPr="00987394">
        <w:rPr>
          <w:rFonts w:ascii="Verdana" w:hAnsi="Verdana" w:cs="Times New Roman"/>
          <w:sz w:val="20"/>
          <w:szCs w:val="20"/>
        </w:rPr>
        <w:t xml:space="preserve"> much digging through course listings and descriptions, we found most</w:t>
      </w:r>
      <w:r w:rsidR="006F71FC" w:rsidRPr="00987394">
        <w:rPr>
          <w:rFonts w:ascii="Verdana" w:hAnsi="Verdana" w:cs="Times New Roman"/>
          <w:sz w:val="20"/>
          <w:szCs w:val="20"/>
        </w:rPr>
        <w:t xml:space="preserve"> </w:t>
      </w:r>
      <w:r w:rsidR="00FE392B" w:rsidRPr="00987394">
        <w:rPr>
          <w:rFonts w:ascii="Verdana" w:hAnsi="Verdana" w:cs="Times New Roman"/>
          <w:sz w:val="20"/>
          <w:szCs w:val="20"/>
        </w:rPr>
        <w:t xml:space="preserve">colleges </w:t>
      </w:r>
      <w:r w:rsidR="006F71FC" w:rsidRPr="00987394">
        <w:rPr>
          <w:rFonts w:ascii="Verdana" w:hAnsi="Verdana" w:cs="Times New Roman"/>
          <w:sz w:val="20"/>
          <w:szCs w:val="20"/>
        </w:rPr>
        <w:t xml:space="preserve">followed the same implicit GE </w:t>
      </w:r>
      <w:r w:rsidR="003802D4" w:rsidRPr="00987394">
        <w:rPr>
          <w:rFonts w:ascii="Verdana" w:hAnsi="Verdana" w:cs="Times New Roman"/>
          <w:sz w:val="20"/>
          <w:szCs w:val="20"/>
        </w:rPr>
        <w:t xml:space="preserve">subject area </w:t>
      </w:r>
      <w:r w:rsidR="006F71FC" w:rsidRPr="00987394">
        <w:rPr>
          <w:rFonts w:ascii="Verdana" w:hAnsi="Verdana" w:cs="Times New Roman"/>
          <w:sz w:val="20"/>
          <w:szCs w:val="20"/>
        </w:rPr>
        <w:t xml:space="preserve">structure. </w:t>
      </w:r>
    </w:p>
    <w:p w14:paraId="34C05DAB" w14:textId="77777777" w:rsidR="00A744DB" w:rsidRPr="00987394" w:rsidRDefault="00A744DB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</w:pPr>
    </w:p>
    <w:p w14:paraId="3C360101" w14:textId="30728761" w:rsidR="00F35552" w:rsidRPr="00376728" w:rsidRDefault="0095503A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</w:pPr>
      <w:r w:rsidRPr="00376728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 xml:space="preserve">General Education Course </w:t>
      </w:r>
      <w:r w:rsidR="00293971" w:rsidRPr="00376728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 xml:space="preserve">Requirements and </w:t>
      </w:r>
      <w:r w:rsidRPr="00376728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 xml:space="preserve">Offerings </w:t>
      </w:r>
    </w:p>
    <w:p w14:paraId="0C226597" w14:textId="77777777" w:rsidR="00A744DB" w:rsidRPr="00987394" w:rsidRDefault="00A744DB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0BB6B516" w14:textId="3680F124" w:rsidR="005D7460" w:rsidRPr="00987394" w:rsidRDefault="00981D2C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When we examined </w:t>
      </w:r>
      <w:r w:rsidR="00DB4B03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community college 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GE </w:t>
      </w:r>
      <w:r w:rsidR="00DB4B03" w:rsidRPr="00987394">
        <w:rPr>
          <w:rFonts w:ascii="Verdana" w:hAnsi="Verdana" w:cs="Times New Roman"/>
          <w:sz w:val="20"/>
          <w:szCs w:val="20"/>
          <w:shd w:val="clear" w:color="auto" w:fill="FFFFFF"/>
        </w:rPr>
        <w:t>programs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by subject matter categories, we found </w:t>
      </w:r>
      <w:r w:rsidR="00D706D8" w:rsidRPr="00987394">
        <w:rPr>
          <w:rFonts w:ascii="Verdana" w:hAnsi="Verdana" w:cs="Times New Roman"/>
          <w:sz w:val="20"/>
          <w:szCs w:val="20"/>
          <w:shd w:val="clear" w:color="auto" w:fill="FFFFFF"/>
        </w:rPr>
        <w:t>colleges</w:t>
      </w:r>
      <w:r w:rsidR="00AF7AA3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had very similar numbers of courses they required</w:t>
      </w:r>
      <w:r w:rsidR="00D706D8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0C1446" w:rsidRPr="00987394">
        <w:rPr>
          <w:rFonts w:ascii="Verdana" w:hAnsi="Verdana" w:cs="Times New Roman"/>
          <w:sz w:val="20"/>
          <w:szCs w:val="20"/>
          <w:shd w:val="clear" w:color="auto" w:fill="FFFFFF"/>
        </w:rPr>
        <w:t>within</w:t>
      </w:r>
      <w:r w:rsidR="00433A5C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each </w:t>
      </w:r>
      <w:r w:rsidR="00C225E8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of the five major </w:t>
      </w:r>
      <w:r w:rsidR="00A21CEE" w:rsidRPr="00987394">
        <w:rPr>
          <w:rFonts w:ascii="Verdana" w:hAnsi="Verdana" w:cs="Times New Roman"/>
          <w:sz w:val="20"/>
          <w:szCs w:val="20"/>
          <w:shd w:val="clear" w:color="auto" w:fill="FFFFFF"/>
        </w:rPr>
        <w:t>areas</w:t>
      </w:r>
      <w:r w:rsidR="00C225E8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(</w:t>
      </w:r>
      <w:r w:rsidR="00973172" w:rsidRPr="00BD25F3">
        <w:rPr>
          <w:rFonts w:ascii="Verdana" w:hAnsi="Verdana" w:cs="Times New Roman"/>
          <w:sz w:val="20"/>
          <w:szCs w:val="20"/>
          <w:shd w:val="clear" w:color="auto" w:fill="FFFFFF"/>
        </w:rPr>
        <w:t>Arts and Humanities</w:t>
      </w:r>
      <w:r w:rsidR="00C225E8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="00C225E8" w:rsidRPr="00BD25F3">
        <w:rPr>
          <w:rFonts w:ascii="Verdana" w:hAnsi="Verdana" w:cs="Times New Roman"/>
          <w:sz w:val="20"/>
          <w:szCs w:val="20"/>
          <w:shd w:val="clear" w:color="auto" w:fill="FFFFFF"/>
        </w:rPr>
        <w:t xml:space="preserve">Social </w:t>
      </w:r>
      <w:r w:rsidR="00CE70F2" w:rsidRPr="00BD25F3">
        <w:rPr>
          <w:rFonts w:ascii="Verdana" w:hAnsi="Verdana" w:cs="Times New Roman"/>
          <w:sz w:val="20"/>
          <w:szCs w:val="20"/>
          <w:shd w:val="clear" w:color="auto" w:fill="FFFFFF"/>
        </w:rPr>
        <w:t>and</w:t>
      </w:r>
      <w:r w:rsidR="00C225E8" w:rsidRPr="00BD25F3">
        <w:rPr>
          <w:rFonts w:ascii="Verdana" w:hAnsi="Verdana" w:cs="Times New Roman"/>
          <w:sz w:val="20"/>
          <w:szCs w:val="20"/>
          <w:shd w:val="clear" w:color="auto" w:fill="FFFFFF"/>
        </w:rPr>
        <w:t xml:space="preserve"> Behavioral Sciences</w:t>
      </w:r>
      <w:r w:rsidR="00C225E8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="00C225E8" w:rsidRPr="00BD25F3">
        <w:rPr>
          <w:rFonts w:ascii="Verdana" w:hAnsi="Verdana" w:cs="Times New Roman"/>
          <w:sz w:val="20"/>
          <w:szCs w:val="20"/>
          <w:shd w:val="clear" w:color="auto" w:fill="FFFFFF"/>
        </w:rPr>
        <w:t>Natural Sciences</w:t>
      </w:r>
      <w:r w:rsidR="00C225E8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="00C225E8" w:rsidRPr="00BD25F3">
        <w:rPr>
          <w:rFonts w:ascii="Verdana" w:hAnsi="Verdana" w:cs="Times New Roman"/>
          <w:sz w:val="20"/>
          <w:szCs w:val="20"/>
          <w:shd w:val="clear" w:color="auto" w:fill="FFFFFF"/>
        </w:rPr>
        <w:t xml:space="preserve">Communication </w:t>
      </w:r>
      <w:r w:rsidR="00CE70F2" w:rsidRPr="00BD25F3">
        <w:rPr>
          <w:rFonts w:ascii="Verdana" w:hAnsi="Verdana" w:cs="Times New Roman"/>
          <w:sz w:val="20"/>
          <w:szCs w:val="20"/>
          <w:shd w:val="clear" w:color="auto" w:fill="FFFFFF"/>
        </w:rPr>
        <w:t>and</w:t>
      </w:r>
      <w:r w:rsidR="00C225E8" w:rsidRPr="00BD25F3">
        <w:rPr>
          <w:rFonts w:ascii="Verdana" w:hAnsi="Verdana" w:cs="Times New Roman"/>
          <w:sz w:val="20"/>
          <w:szCs w:val="20"/>
          <w:shd w:val="clear" w:color="auto" w:fill="FFFFFF"/>
        </w:rPr>
        <w:t xml:space="preserve"> Composition</w:t>
      </w:r>
      <w:r w:rsidR="00C225E8" w:rsidRPr="007E6E7E">
        <w:rPr>
          <w:rFonts w:ascii="Verdana" w:hAnsi="Verdana" w:cs="Times New Roman"/>
          <w:sz w:val="20"/>
          <w:szCs w:val="20"/>
          <w:shd w:val="clear" w:color="auto" w:fill="FFFFFF"/>
        </w:rPr>
        <w:t>, and</w:t>
      </w:r>
      <w:r w:rsidR="00D032FB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C225E8" w:rsidRPr="00BD25F3">
        <w:rPr>
          <w:rFonts w:ascii="Verdana" w:hAnsi="Verdana" w:cs="Times New Roman"/>
          <w:sz w:val="20"/>
          <w:szCs w:val="20"/>
          <w:shd w:val="clear" w:color="auto" w:fill="FFFFFF"/>
        </w:rPr>
        <w:t>Mathematics</w:t>
      </w:r>
      <w:r w:rsidR="00C225E8" w:rsidRPr="00987394">
        <w:rPr>
          <w:rFonts w:ascii="Verdana" w:hAnsi="Verdana" w:cs="Times New Roman"/>
          <w:sz w:val="20"/>
          <w:szCs w:val="20"/>
          <w:shd w:val="clear" w:color="auto" w:fill="FFFFFF"/>
        </w:rPr>
        <w:t>)</w:t>
      </w:r>
      <w:r w:rsidR="00DB4B03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, but </w:t>
      </w:r>
      <w:r w:rsidR="00A21CEE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major </w:t>
      </w:r>
      <w:r w:rsidR="00DB4B03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differences in the </w:t>
      </w:r>
      <w:r w:rsidR="00B71665" w:rsidRPr="00987394">
        <w:rPr>
          <w:rFonts w:ascii="Verdana" w:hAnsi="Verdana" w:cs="Times New Roman"/>
          <w:sz w:val="20"/>
          <w:szCs w:val="20"/>
          <w:shd w:val="clear" w:color="auto" w:fill="FFFFFF"/>
        </w:rPr>
        <w:t>number</w:t>
      </w:r>
      <w:r w:rsidR="00DB4B03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of </w:t>
      </w:r>
      <w:r w:rsidR="000C1446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GE </w:t>
      </w:r>
      <w:r w:rsidR="00AF7AA3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courses </w:t>
      </w:r>
      <w:r w:rsidR="00523CA3" w:rsidRPr="00987394">
        <w:rPr>
          <w:rFonts w:ascii="Verdana" w:hAnsi="Verdana" w:cs="Times New Roman"/>
          <w:sz w:val="20"/>
          <w:szCs w:val="20"/>
          <w:shd w:val="clear" w:color="auto" w:fill="FFFFFF"/>
        </w:rPr>
        <w:t>they</w:t>
      </w:r>
      <w:r w:rsidR="00AF7AA3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offered to meet these requirements. </w:t>
      </w:r>
      <w:r w:rsidR="00D032FB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Table </w:t>
      </w:r>
      <w:r w:rsidR="00DF06BD" w:rsidRPr="00987394">
        <w:rPr>
          <w:rFonts w:ascii="Verdana" w:hAnsi="Verdana" w:cs="Times New Roman"/>
          <w:sz w:val="20"/>
          <w:szCs w:val="20"/>
          <w:shd w:val="clear" w:color="auto" w:fill="FFFFFF"/>
        </w:rPr>
        <w:t>2</w:t>
      </w:r>
      <w:r w:rsidR="00D032FB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displays </w:t>
      </w:r>
      <w:r w:rsidR="00D706D8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the </w:t>
      </w:r>
      <w:r w:rsidR="00D032FB" w:rsidRPr="00987394">
        <w:rPr>
          <w:rFonts w:ascii="Verdana" w:hAnsi="Verdana" w:cs="Times New Roman"/>
          <w:sz w:val="20"/>
          <w:szCs w:val="20"/>
          <w:shd w:val="clear" w:color="auto" w:fill="FFFFFF"/>
        </w:rPr>
        <w:t>average</w:t>
      </w:r>
      <w:r w:rsidR="00D706D8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4561A9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GE requirements and approved course offerings for each </w:t>
      </w:r>
      <w:r w:rsidR="00D706D8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subject area </w:t>
      </w:r>
      <w:r w:rsidR="004561A9" w:rsidRPr="00987394">
        <w:rPr>
          <w:rFonts w:ascii="Verdana" w:hAnsi="Verdana" w:cs="Times New Roman"/>
          <w:sz w:val="20"/>
          <w:szCs w:val="20"/>
          <w:shd w:val="clear" w:color="auto" w:fill="FFFFFF"/>
        </w:rPr>
        <w:t>category</w:t>
      </w:r>
      <w:r w:rsidR="00523CA3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across colleges by size</w:t>
      </w:r>
      <w:r w:rsidR="004561A9" w:rsidRPr="00987394">
        <w:rPr>
          <w:rFonts w:ascii="Verdana" w:hAnsi="Verdana" w:cs="Times New Roman"/>
          <w:sz w:val="20"/>
          <w:szCs w:val="20"/>
          <w:shd w:val="clear" w:color="auto" w:fill="FFFFFF"/>
        </w:rPr>
        <w:t>.</w:t>
      </w:r>
      <w:bookmarkStart w:id="2" w:name="_Hlk69743318"/>
      <w:r w:rsidR="005D746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All 30 colleges </w:t>
      </w:r>
      <w:r w:rsidR="009657F4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in the study </w:t>
      </w:r>
      <w:r w:rsidR="005D746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required a single course in </w:t>
      </w:r>
      <w:r w:rsidR="005D7460" w:rsidRPr="00BD25F3">
        <w:rPr>
          <w:rFonts w:ascii="Verdana" w:hAnsi="Verdana" w:cs="Times New Roman"/>
          <w:sz w:val="20"/>
          <w:szCs w:val="20"/>
          <w:shd w:val="clear" w:color="auto" w:fill="FFFFFF"/>
        </w:rPr>
        <w:t>Mathematics</w:t>
      </w:r>
      <w:r w:rsidR="005D746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and two or three courses</w:t>
      </w:r>
      <w:r w:rsidR="00523CA3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, on average, </w:t>
      </w:r>
      <w:r w:rsidR="005D746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in each of the other four GE subject area categories. </w:t>
      </w:r>
    </w:p>
    <w:p w14:paraId="0BAFD057" w14:textId="77777777" w:rsidR="00A744DB" w:rsidRPr="00987394" w:rsidRDefault="00A744DB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7758A5A4" w14:textId="77777777" w:rsidR="009E5384" w:rsidRDefault="009E5384">
      <w:pPr>
        <w:rPr>
          <w:rFonts w:ascii="Verdana" w:hAnsi="Verdana"/>
          <w:b/>
          <w:bCs/>
          <w:sz w:val="20"/>
          <w:szCs w:val="20"/>
        </w:rPr>
      </w:pPr>
      <w:bookmarkStart w:id="3" w:name="_Hlk72094437"/>
      <w:r>
        <w:rPr>
          <w:rFonts w:ascii="Verdana" w:hAnsi="Verdana"/>
          <w:b/>
          <w:bCs/>
          <w:sz w:val="20"/>
          <w:szCs w:val="20"/>
        </w:rPr>
        <w:br w:type="page"/>
      </w:r>
    </w:p>
    <w:p w14:paraId="2715B502" w14:textId="129849EC" w:rsidR="0059123C" w:rsidRDefault="0059123C" w:rsidP="00A744DB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87394">
        <w:rPr>
          <w:rFonts w:ascii="Verdana" w:hAnsi="Verdana"/>
          <w:b/>
          <w:bCs/>
          <w:sz w:val="20"/>
          <w:szCs w:val="20"/>
        </w:rPr>
        <w:lastRenderedPageBreak/>
        <w:t xml:space="preserve">Table </w:t>
      </w:r>
      <w:r w:rsidR="00DF06BD" w:rsidRPr="00987394">
        <w:rPr>
          <w:rFonts w:ascii="Verdana" w:hAnsi="Verdana"/>
          <w:b/>
          <w:bCs/>
          <w:sz w:val="20"/>
          <w:szCs w:val="20"/>
        </w:rPr>
        <w:t>2</w:t>
      </w:r>
      <w:r w:rsidR="00A744DB" w:rsidRPr="00987394">
        <w:rPr>
          <w:rFonts w:ascii="Verdana" w:hAnsi="Verdana"/>
          <w:b/>
          <w:bCs/>
          <w:sz w:val="20"/>
          <w:szCs w:val="20"/>
        </w:rPr>
        <w:t xml:space="preserve">: </w:t>
      </w:r>
      <w:r w:rsidR="00EC59CF" w:rsidRPr="00987394">
        <w:rPr>
          <w:rFonts w:ascii="Verdana" w:hAnsi="Verdana"/>
          <w:b/>
          <w:bCs/>
          <w:sz w:val="20"/>
          <w:szCs w:val="20"/>
        </w:rPr>
        <w:t xml:space="preserve">Number </w:t>
      </w:r>
      <w:r w:rsidR="00555405" w:rsidRPr="00987394">
        <w:rPr>
          <w:rFonts w:ascii="Verdana" w:hAnsi="Verdana"/>
          <w:b/>
          <w:bCs/>
          <w:sz w:val="20"/>
          <w:szCs w:val="20"/>
        </w:rPr>
        <w:t xml:space="preserve">of </w:t>
      </w:r>
      <w:r w:rsidRPr="00987394">
        <w:rPr>
          <w:rFonts w:ascii="Verdana" w:hAnsi="Verdana"/>
          <w:b/>
          <w:bCs/>
          <w:sz w:val="20"/>
          <w:szCs w:val="20"/>
        </w:rPr>
        <w:t xml:space="preserve">Required </w:t>
      </w:r>
      <w:r w:rsidR="00AF6E04" w:rsidRPr="00987394">
        <w:rPr>
          <w:rFonts w:ascii="Verdana" w:hAnsi="Verdana"/>
          <w:b/>
          <w:bCs/>
          <w:sz w:val="20"/>
          <w:szCs w:val="20"/>
        </w:rPr>
        <w:t>and</w:t>
      </w:r>
      <w:r w:rsidRPr="00987394">
        <w:rPr>
          <w:rFonts w:ascii="Verdana" w:hAnsi="Verdana"/>
          <w:b/>
          <w:bCs/>
          <w:sz w:val="20"/>
          <w:szCs w:val="20"/>
        </w:rPr>
        <w:t xml:space="preserve"> Approved </w:t>
      </w:r>
      <w:r w:rsidR="005A39B0" w:rsidRPr="00987394">
        <w:rPr>
          <w:rFonts w:ascii="Verdana" w:hAnsi="Verdana"/>
          <w:b/>
          <w:bCs/>
          <w:sz w:val="20"/>
          <w:szCs w:val="20"/>
        </w:rPr>
        <w:t>General Education</w:t>
      </w:r>
      <w:r w:rsidRPr="00987394">
        <w:rPr>
          <w:rFonts w:ascii="Verdana" w:hAnsi="Verdana"/>
          <w:b/>
          <w:bCs/>
          <w:sz w:val="20"/>
          <w:szCs w:val="20"/>
        </w:rPr>
        <w:t xml:space="preserve"> Courses </w:t>
      </w:r>
      <w:r w:rsidR="005A39B0" w:rsidRPr="00987394">
        <w:rPr>
          <w:rFonts w:ascii="Verdana" w:hAnsi="Verdana"/>
          <w:b/>
          <w:bCs/>
          <w:sz w:val="20"/>
          <w:szCs w:val="20"/>
        </w:rPr>
        <w:t>by</w:t>
      </w:r>
      <w:r w:rsidR="00AF6E04" w:rsidRPr="00987394">
        <w:rPr>
          <w:rFonts w:ascii="Verdana" w:hAnsi="Verdana"/>
          <w:b/>
          <w:bCs/>
          <w:sz w:val="20"/>
          <w:szCs w:val="20"/>
        </w:rPr>
        <w:t xml:space="preserve"> Subject Area</w:t>
      </w:r>
      <w:r w:rsidR="00EC59CF" w:rsidRPr="00987394">
        <w:rPr>
          <w:rFonts w:ascii="Verdana" w:hAnsi="Verdana"/>
          <w:b/>
          <w:bCs/>
          <w:sz w:val="20"/>
          <w:szCs w:val="20"/>
        </w:rPr>
        <w:t>s</w:t>
      </w:r>
      <w:r w:rsidR="00AF6E04" w:rsidRPr="00987394">
        <w:rPr>
          <w:rFonts w:ascii="Verdana" w:hAnsi="Verdana"/>
          <w:b/>
          <w:bCs/>
          <w:sz w:val="20"/>
          <w:szCs w:val="20"/>
        </w:rPr>
        <w:t xml:space="preserve"> </w:t>
      </w:r>
      <w:r w:rsidR="005A39B0" w:rsidRPr="00987394">
        <w:rPr>
          <w:rFonts w:ascii="Verdana" w:hAnsi="Verdana"/>
          <w:b/>
          <w:bCs/>
          <w:sz w:val="20"/>
          <w:szCs w:val="20"/>
        </w:rPr>
        <w:t xml:space="preserve">at </w:t>
      </w:r>
      <w:r w:rsidRPr="00987394">
        <w:rPr>
          <w:rFonts w:ascii="Verdana" w:hAnsi="Verdana"/>
          <w:b/>
          <w:bCs/>
          <w:sz w:val="20"/>
          <w:szCs w:val="20"/>
        </w:rPr>
        <w:t xml:space="preserve">Large, Medium, and Small </w:t>
      </w:r>
      <w:r w:rsidR="00EC59CF" w:rsidRPr="00987394">
        <w:rPr>
          <w:rFonts w:ascii="Verdana" w:hAnsi="Verdana"/>
          <w:b/>
          <w:bCs/>
          <w:sz w:val="20"/>
          <w:szCs w:val="20"/>
        </w:rPr>
        <w:t xml:space="preserve">U.S. </w:t>
      </w:r>
      <w:r w:rsidRPr="00987394">
        <w:rPr>
          <w:rFonts w:ascii="Verdana" w:hAnsi="Verdana"/>
          <w:b/>
          <w:bCs/>
          <w:sz w:val="20"/>
          <w:szCs w:val="20"/>
        </w:rPr>
        <w:t>Community Colleges</w:t>
      </w:r>
    </w:p>
    <w:p w14:paraId="3D2A9CEA" w14:textId="77777777" w:rsidR="00A744DB" w:rsidRPr="00987394" w:rsidRDefault="00A744DB" w:rsidP="009E5384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leGrid121"/>
        <w:tblW w:w="9285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1910"/>
        <w:gridCol w:w="1340"/>
        <w:gridCol w:w="1265"/>
        <w:gridCol w:w="1445"/>
      </w:tblGrid>
      <w:tr w:rsidR="00987394" w:rsidRPr="00987394" w14:paraId="270649A2" w14:textId="77777777" w:rsidTr="009E5384">
        <w:trPr>
          <w:trHeight w:val="548"/>
          <w:jc w:val="center"/>
        </w:trPr>
        <w:tc>
          <w:tcPr>
            <w:tcW w:w="3325" w:type="dxa"/>
            <w:vMerge w:val="restart"/>
            <w:shd w:val="clear" w:color="auto" w:fill="A6A6A6" w:themeFill="background1" w:themeFillShade="A6"/>
            <w:vAlign w:val="center"/>
          </w:tcPr>
          <w:bookmarkEnd w:id="2"/>
          <w:bookmarkEnd w:id="3"/>
          <w:p w14:paraId="44A3BE41" w14:textId="47098863" w:rsidR="00A823E2" w:rsidRPr="00987394" w:rsidRDefault="00A823E2" w:rsidP="00A744DB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987394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General Education </w:t>
            </w:r>
            <w:r w:rsidRPr="00987394">
              <w:rPr>
                <w:rFonts w:ascii="Verdana" w:hAnsi="Verdana" w:cstheme="minorHAnsi"/>
                <w:b/>
                <w:bCs/>
                <w:sz w:val="20"/>
                <w:szCs w:val="20"/>
              </w:rPr>
              <w:br/>
              <w:t>Subject Areas</w:t>
            </w:r>
          </w:p>
        </w:tc>
        <w:tc>
          <w:tcPr>
            <w:tcW w:w="1910" w:type="dxa"/>
            <w:vMerge w:val="restart"/>
            <w:shd w:val="clear" w:color="auto" w:fill="A6A6A6" w:themeFill="background1" w:themeFillShade="A6"/>
            <w:vAlign w:val="center"/>
          </w:tcPr>
          <w:p w14:paraId="58C6A757" w14:textId="38A94EBF" w:rsidR="00A823E2" w:rsidRPr="00987394" w:rsidRDefault="00F651E1" w:rsidP="009E5384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987394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Average </w:t>
            </w:r>
            <w:r w:rsidR="00A823E2" w:rsidRPr="00987394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Required </w:t>
            </w:r>
            <w:r w:rsidR="00782684" w:rsidRPr="00987394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GE </w:t>
            </w:r>
            <w:r w:rsidR="00A823E2" w:rsidRPr="00987394">
              <w:rPr>
                <w:rFonts w:ascii="Verdana" w:hAnsi="Verdana" w:cstheme="minorHAnsi"/>
                <w:b/>
                <w:bCs/>
                <w:sz w:val="20"/>
                <w:szCs w:val="20"/>
              </w:rPr>
              <w:t>Courses</w:t>
            </w:r>
          </w:p>
        </w:tc>
        <w:tc>
          <w:tcPr>
            <w:tcW w:w="4050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8B15E2" w14:textId="77777777" w:rsidR="009E5384" w:rsidRDefault="009E5384" w:rsidP="00A744DB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  <w:p w14:paraId="45DF6A85" w14:textId="50835CC7" w:rsidR="00A823E2" w:rsidRPr="00987394" w:rsidRDefault="00A823E2" w:rsidP="00A744DB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987394">
              <w:rPr>
                <w:rFonts w:ascii="Verdana" w:hAnsi="Verdana" w:cstheme="minorHAnsi"/>
                <w:b/>
                <w:bCs/>
                <w:sz w:val="20"/>
                <w:szCs w:val="20"/>
              </w:rPr>
              <w:t>Average # GE Course</w:t>
            </w:r>
            <w:r w:rsidR="002B4EDF" w:rsidRPr="00987394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 </w:t>
            </w:r>
            <w:r w:rsidR="00D768E8" w:rsidRPr="00987394">
              <w:rPr>
                <w:rFonts w:ascii="Verdana" w:hAnsi="Verdana" w:cstheme="minorHAnsi"/>
                <w:b/>
                <w:bCs/>
                <w:sz w:val="20"/>
                <w:szCs w:val="20"/>
              </w:rPr>
              <w:t>Options</w:t>
            </w:r>
          </w:p>
        </w:tc>
      </w:tr>
      <w:tr w:rsidR="00987394" w:rsidRPr="00987394" w14:paraId="20E78526" w14:textId="77777777" w:rsidTr="009E5384">
        <w:trPr>
          <w:trHeight w:val="70"/>
          <w:jc w:val="center"/>
        </w:trPr>
        <w:tc>
          <w:tcPr>
            <w:tcW w:w="3325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743931C" w14:textId="77777777" w:rsidR="00A823E2" w:rsidRPr="00987394" w:rsidRDefault="00A823E2" w:rsidP="00A744DB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6F690C" w14:textId="77777777" w:rsidR="00A823E2" w:rsidRPr="00987394" w:rsidRDefault="00A823E2" w:rsidP="00A744DB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1DBCF6" w14:textId="77777777" w:rsidR="00A823E2" w:rsidRPr="00987394" w:rsidRDefault="00A823E2" w:rsidP="00A744DB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987394">
              <w:rPr>
                <w:rFonts w:ascii="Verdana" w:hAnsi="Verdana" w:cstheme="minorHAnsi"/>
                <w:b/>
                <w:bCs/>
                <w:sz w:val="20"/>
                <w:szCs w:val="20"/>
              </w:rPr>
              <w:t>Large Colleges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E70DC5" w14:textId="77777777" w:rsidR="00A823E2" w:rsidRPr="00987394" w:rsidRDefault="00A823E2" w:rsidP="00A744DB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987394">
              <w:rPr>
                <w:rFonts w:ascii="Verdana" w:hAnsi="Verdana" w:cstheme="minorHAnsi"/>
                <w:b/>
                <w:bCs/>
                <w:sz w:val="20"/>
                <w:szCs w:val="20"/>
              </w:rPr>
              <w:t>Medium Colleges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0827B1" w14:textId="77777777" w:rsidR="00A823E2" w:rsidRPr="00987394" w:rsidRDefault="00A823E2" w:rsidP="00A744DB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987394">
              <w:rPr>
                <w:rFonts w:ascii="Verdana" w:hAnsi="Verdana" w:cstheme="minorHAnsi"/>
                <w:b/>
                <w:bCs/>
                <w:sz w:val="20"/>
                <w:szCs w:val="20"/>
              </w:rPr>
              <w:t>Small Colleges</w:t>
            </w:r>
          </w:p>
        </w:tc>
      </w:tr>
      <w:tr w:rsidR="00987394" w:rsidRPr="00987394" w14:paraId="59BB7F60" w14:textId="77777777" w:rsidTr="009E5384">
        <w:trPr>
          <w:trHeight w:val="548"/>
          <w:jc w:val="center"/>
        </w:trPr>
        <w:tc>
          <w:tcPr>
            <w:tcW w:w="3325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BC018" w14:textId="73F986DB" w:rsidR="003752CD" w:rsidRPr="00987394" w:rsidRDefault="00A823E2" w:rsidP="00A744D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87394">
              <w:rPr>
                <w:rFonts w:ascii="Verdana" w:hAnsi="Verdana" w:cs="Arial"/>
                <w:b/>
                <w:bCs/>
                <w:sz w:val="20"/>
                <w:szCs w:val="20"/>
              </w:rPr>
              <w:t>Arts &amp; Humanities</w:t>
            </w:r>
          </w:p>
        </w:tc>
        <w:tc>
          <w:tcPr>
            <w:tcW w:w="191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548E3" w14:textId="2D21F0D2" w:rsidR="00A823E2" w:rsidRPr="00987394" w:rsidRDefault="00611D59" w:rsidP="00A744DB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987394">
              <w:rPr>
                <w:rFonts w:ascii="Verdana" w:hAnsi="Verdana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7F570" w14:textId="12E300A4" w:rsidR="00A823E2" w:rsidRPr="00987394" w:rsidRDefault="00A823E2" w:rsidP="00A744DB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987394">
              <w:rPr>
                <w:rFonts w:ascii="Verdana" w:hAnsi="Verdana" w:cstheme="minorHAnsi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0A01229C" w14:textId="7E1EAED9" w:rsidR="00A823E2" w:rsidRPr="00987394" w:rsidRDefault="00A823E2" w:rsidP="00A744DB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987394">
              <w:rPr>
                <w:rFonts w:ascii="Verdana" w:hAnsi="Verdana" w:cstheme="minorHAnsi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63F21925" w14:textId="7A26A8C0" w:rsidR="00A823E2" w:rsidRPr="00987394" w:rsidRDefault="00A823E2" w:rsidP="00A744DB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987394">
              <w:rPr>
                <w:rFonts w:ascii="Verdana" w:hAnsi="Verdana" w:cstheme="minorHAnsi"/>
                <w:b/>
                <w:bCs/>
                <w:sz w:val="20"/>
                <w:szCs w:val="20"/>
              </w:rPr>
              <w:t>29</w:t>
            </w:r>
          </w:p>
        </w:tc>
      </w:tr>
      <w:tr w:rsidR="00987394" w:rsidRPr="00987394" w14:paraId="54BE1A29" w14:textId="77777777" w:rsidTr="009E5384">
        <w:trPr>
          <w:trHeight w:val="630"/>
          <w:jc w:val="center"/>
        </w:trPr>
        <w:tc>
          <w:tcPr>
            <w:tcW w:w="3325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12650A" w14:textId="77777777" w:rsidR="00A823E2" w:rsidRPr="00987394" w:rsidRDefault="00A823E2" w:rsidP="00A744D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87394">
              <w:rPr>
                <w:rFonts w:ascii="Verdana" w:hAnsi="Verdana" w:cs="Arial"/>
                <w:b/>
                <w:bCs/>
                <w:sz w:val="20"/>
                <w:szCs w:val="20"/>
              </w:rPr>
              <w:t>Social &amp; Behavioral Sciences</w:t>
            </w:r>
          </w:p>
        </w:tc>
        <w:tc>
          <w:tcPr>
            <w:tcW w:w="1910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BAD7F9" w14:textId="1A94D007" w:rsidR="00A823E2" w:rsidRPr="00987394" w:rsidRDefault="00611D59" w:rsidP="00A744DB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987394">
              <w:rPr>
                <w:rFonts w:ascii="Verdana" w:hAnsi="Verdana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4F5092" w14:textId="1B86F491" w:rsidR="00A823E2" w:rsidRPr="00987394" w:rsidRDefault="00A823E2" w:rsidP="00A744DB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987394">
              <w:rPr>
                <w:rFonts w:ascii="Verdana" w:hAnsi="Verdana" w:cstheme="minorHAns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B6783C7" w14:textId="31421AA2" w:rsidR="00A823E2" w:rsidRPr="00987394" w:rsidRDefault="00A823E2" w:rsidP="00A744DB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987394">
              <w:rPr>
                <w:rFonts w:ascii="Verdana" w:hAnsi="Verdana" w:cstheme="minorHAns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FD475F5" w14:textId="50048D4C" w:rsidR="00A823E2" w:rsidRPr="00987394" w:rsidRDefault="00A823E2" w:rsidP="00A744DB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987394">
              <w:rPr>
                <w:rFonts w:ascii="Verdana" w:hAnsi="Verdana" w:cstheme="minorHAnsi"/>
                <w:b/>
                <w:bCs/>
                <w:sz w:val="20"/>
                <w:szCs w:val="20"/>
              </w:rPr>
              <w:t>22</w:t>
            </w:r>
          </w:p>
        </w:tc>
      </w:tr>
      <w:tr w:rsidR="00987394" w:rsidRPr="00987394" w14:paraId="341AF3EB" w14:textId="77777777" w:rsidTr="009E5384">
        <w:trPr>
          <w:trHeight w:val="630"/>
          <w:jc w:val="center"/>
        </w:trPr>
        <w:tc>
          <w:tcPr>
            <w:tcW w:w="3325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E6ECA" w14:textId="77777777" w:rsidR="00A823E2" w:rsidRPr="00987394" w:rsidRDefault="00A823E2" w:rsidP="00A744D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87394">
              <w:rPr>
                <w:rFonts w:ascii="Verdana" w:hAnsi="Verdana" w:cs="Arial"/>
                <w:b/>
                <w:bCs/>
                <w:sz w:val="20"/>
                <w:szCs w:val="20"/>
              </w:rPr>
              <w:t>Natural Sciences</w:t>
            </w:r>
          </w:p>
        </w:tc>
        <w:tc>
          <w:tcPr>
            <w:tcW w:w="191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CF156" w14:textId="77777777" w:rsidR="00A823E2" w:rsidRPr="00987394" w:rsidRDefault="00A823E2" w:rsidP="00A744DB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987394">
              <w:rPr>
                <w:rFonts w:ascii="Verdana" w:hAnsi="Verdana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C2A01" w14:textId="1DCAE456" w:rsidR="00A823E2" w:rsidRPr="00987394" w:rsidRDefault="00A823E2" w:rsidP="00A744DB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987394">
              <w:rPr>
                <w:rFonts w:ascii="Verdana" w:hAnsi="Verdana" w:cstheme="minorHAns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2419977C" w14:textId="5BAEBF8B" w:rsidR="00A823E2" w:rsidRPr="00987394" w:rsidRDefault="00A823E2" w:rsidP="00A744DB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987394">
              <w:rPr>
                <w:rFonts w:ascii="Verdana" w:hAnsi="Verdana" w:cstheme="minorHAnsi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0501E0D5" w14:textId="77D3B13A" w:rsidR="00A823E2" w:rsidRPr="00987394" w:rsidRDefault="00A823E2" w:rsidP="00A744DB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987394">
              <w:rPr>
                <w:rFonts w:ascii="Verdana" w:hAnsi="Verdana" w:cstheme="minorHAnsi"/>
                <w:b/>
                <w:bCs/>
                <w:sz w:val="20"/>
                <w:szCs w:val="20"/>
              </w:rPr>
              <w:t>21</w:t>
            </w:r>
          </w:p>
        </w:tc>
      </w:tr>
      <w:tr w:rsidR="00987394" w:rsidRPr="00987394" w14:paraId="7C3679F5" w14:textId="77777777" w:rsidTr="009E5384">
        <w:trPr>
          <w:trHeight w:val="630"/>
          <w:jc w:val="center"/>
        </w:trPr>
        <w:tc>
          <w:tcPr>
            <w:tcW w:w="3325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C3C1E" w14:textId="77777777" w:rsidR="00A823E2" w:rsidRPr="00987394" w:rsidRDefault="00A823E2" w:rsidP="00A744D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87394">
              <w:rPr>
                <w:rFonts w:ascii="Verdana" w:hAnsi="Verdana" w:cs="Arial"/>
                <w:b/>
                <w:bCs/>
                <w:sz w:val="20"/>
                <w:szCs w:val="20"/>
              </w:rPr>
              <w:t>Communication &amp; Composition</w:t>
            </w:r>
          </w:p>
        </w:tc>
        <w:tc>
          <w:tcPr>
            <w:tcW w:w="1910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6AF1CA" w14:textId="67581173" w:rsidR="00A823E2" w:rsidRPr="00987394" w:rsidRDefault="00611D59" w:rsidP="00A744DB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987394">
              <w:rPr>
                <w:rFonts w:ascii="Verdana" w:hAnsi="Verdana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DA89F" w14:textId="18E22C97" w:rsidR="00A823E2" w:rsidRPr="00987394" w:rsidRDefault="00A823E2" w:rsidP="00A744DB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987394">
              <w:rPr>
                <w:rFonts w:ascii="Verdana" w:hAnsi="Verdana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B794514" w14:textId="0E5AB456" w:rsidR="00A823E2" w:rsidRPr="00987394" w:rsidRDefault="00A823E2" w:rsidP="00A744DB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987394">
              <w:rPr>
                <w:rFonts w:ascii="Verdana" w:hAnsi="Verdana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438A59E" w14:textId="4AB5F547" w:rsidR="00A823E2" w:rsidRPr="00987394" w:rsidRDefault="00A823E2" w:rsidP="00A744DB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987394">
              <w:rPr>
                <w:rFonts w:ascii="Verdana" w:hAnsi="Verdana" w:cstheme="minorHAnsi"/>
                <w:b/>
                <w:bCs/>
                <w:sz w:val="20"/>
                <w:szCs w:val="20"/>
              </w:rPr>
              <w:t>4</w:t>
            </w:r>
          </w:p>
        </w:tc>
      </w:tr>
      <w:tr w:rsidR="00987394" w:rsidRPr="00987394" w14:paraId="1D494E52" w14:textId="77777777" w:rsidTr="009E5384">
        <w:trPr>
          <w:trHeight w:val="630"/>
          <w:jc w:val="center"/>
        </w:trPr>
        <w:tc>
          <w:tcPr>
            <w:tcW w:w="332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1AADB" w14:textId="77777777" w:rsidR="00A823E2" w:rsidRPr="00987394" w:rsidRDefault="00A823E2" w:rsidP="00A744D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87394">
              <w:rPr>
                <w:rFonts w:ascii="Verdana" w:hAnsi="Verdana" w:cs="Arial"/>
                <w:b/>
                <w:bCs/>
                <w:sz w:val="20"/>
                <w:szCs w:val="20"/>
              </w:rPr>
              <w:t>Mathematics</w:t>
            </w:r>
          </w:p>
        </w:tc>
        <w:tc>
          <w:tcPr>
            <w:tcW w:w="19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48154" w14:textId="77777777" w:rsidR="00A823E2" w:rsidRPr="00987394" w:rsidRDefault="00A823E2" w:rsidP="00A744DB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987394">
              <w:rPr>
                <w:rFonts w:ascii="Verdana" w:hAnsi="Verdana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6C6E0" w14:textId="523ECA34" w:rsidR="00A823E2" w:rsidRPr="00987394" w:rsidRDefault="00A823E2" w:rsidP="00A744DB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987394">
              <w:rPr>
                <w:rFonts w:ascii="Verdana" w:hAnsi="Verdana" w:cstheme="minorHAnsi"/>
                <w:b/>
                <w:bCs/>
                <w:sz w:val="20"/>
                <w:szCs w:val="20"/>
              </w:rPr>
              <w:t>11</w:t>
            </w:r>
            <w:r w:rsidR="00F651E1" w:rsidRPr="00987394">
              <w:rPr>
                <w:rFonts w:ascii="Verdana" w:hAnsi="Verdana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057120" w14:textId="4DE01E68" w:rsidR="00A823E2" w:rsidRPr="00987394" w:rsidRDefault="00A823E2" w:rsidP="00A744DB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987394">
              <w:rPr>
                <w:rFonts w:ascii="Verdana" w:hAnsi="Verdana" w:cstheme="minorHAnsi"/>
                <w:b/>
                <w:bCs/>
                <w:sz w:val="20"/>
                <w:szCs w:val="20"/>
              </w:rPr>
              <w:t>10</w:t>
            </w:r>
            <w:r w:rsidR="00F651E1" w:rsidRPr="00987394">
              <w:rPr>
                <w:rFonts w:ascii="Verdana" w:hAnsi="Verdana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62404A" w14:textId="29FB5CBD" w:rsidR="00A823E2" w:rsidRPr="00987394" w:rsidRDefault="00A823E2" w:rsidP="00A744DB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987394">
              <w:rPr>
                <w:rFonts w:ascii="Verdana" w:hAnsi="Verdana" w:cstheme="minorHAnsi"/>
                <w:b/>
                <w:bCs/>
                <w:sz w:val="20"/>
                <w:szCs w:val="20"/>
              </w:rPr>
              <w:t>8</w:t>
            </w:r>
            <w:r w:rsidR="00F651E1" w:rsidRPr="00987394">
              <w:rPr>
                <w:rFonts w:ascii="Verdana" w:hAnsi="Verdana" w:cstheme="minorHAnsi"/>
                <w:b/>
                <w:bCs/>
                <w:sz w:val="20"/>
                <w:szCs w:val="20"/>
              </w:rPr>
              <w:t>*</w:t>
            </w:r>
          </w:p>
        </w:tc>
      </w:tr>
    </w:tbl>
    <w:p w14:paraId="2083635B" w14:textId="0B4F50D0" w:rsidR="005D7460" w:rsidRPr="00BD25F3" w:rsidRDefault="00150A87" w:rsidP="007A76F6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  <w:r w:rsidRPr="00BD25F3">
        <w:rPr>
          <w:rFonts w:ascii="Verdana" w:hAnsi="Verdana"/>
          <w:b/>
          <w:bCs/>
          <w:sz w:val="16"/>
          <w:szCs w:val="16"/>
        </w:rPr>
        <w:t>(</w:t>
      </w:r>
      <w:r w:rsidR="007A76F6">
        <w:rPr>
          <w:rFonts w:ascii="Verdana" w:hAnsi="Verdana"/>
          <w:b/>
          <w:bCs/>
          <w:sz w:val="16"/>
          <w:szCs w:val="16"/>
        </w:rPr>
        <w:t>*</w:t>
      </w:r>
      <w:r w:rsidR="00F651E1" w:rsidRPr="00BD25F3">
        <w:rPr>
          <w:rFonts w:ascii="Verdana" w:hAnsi="Verdana"/>
          <w:b/>
          <w:bCs/>
          <w:sz w:val="16"/>
          <w:szCs w:val="16"/>
        </w:rPr>
        <w:t xml:space="preserve">Most course </w:t>
      </w:r>
      <w:r w:rsidR="00053A66" w:rsidRPr="00BD25F3">
        <w:rPr>
          <w:rFonts w:ascii="Verdana" w:hAnsi="Verdana"/>
          <w:b/>
          <w:bCs/>
          <w:sz w:val="16"/>
          <w:szCs w:val="16"/>
        </w:rPr>
        <w:t>options</w:t>
      </w:r>
      <w:r w:rsidR="00F651E1" w:rsidRPr="00BD25F3">
        <w:rPr>
          <w:rFonts w:ascii="Verdana" w:hAnsi="Verdana"/>
          <w:b/>
          <w:bCs/>
          <w:sz w:val="16"/>
          <w:szCs w:val="16"/>
        </w:rPr>
        <w:t xml:space="preserve"> in Mathematics </w:t>
      </w:r>
      <w:r w:rsidR="00053A66" w:rsidRPr="00BD25F3">
        <w:rPr>
          <w:rFonts w:ascii="Verdana" w:hAnsi="Verdana"/>
          <w:b/>
          <w:bCs/>
          <w:sz w:val="16"/>
          <w:szCs w:val="16"/>
        </w:rPr>
        <w:t>required completion</w:t>
      </w:r>
      <w:r w:rsidR="007A76F6">
        <w:rPr>
          <w:rFonts w:ascii="Verdana" w:hAnsi="Verdana"/>
          <w:b/>
          <w:bCs/>
          <w:sz w:val="16"/>
          <w:szCs w:val="16"/>
        </w:rPr>
        <w:t xml:space="preserve"> of </w:t>
      </w:r>
      <w:r w:rsidR="00053A66" w:rsidRPr="00BD25F3">
        <w:rPr>
          <w:rFonts w:ascii="Verdana" w:hAnsi="Verdana"/>
          <w:b/>
          <w:bCs/>
          <w:sz w:val="16"/>
          <w:szCs w:val="16"/>
        </w:rPr>
        <w:t>other prerequisite mathematics courses</w:t>
      </w:r>
      <w:r w:rsidRPr="00BD25F3">
        <w:rPr>
          <w:rFonts w:ascii="Verdana" w:hAnsi="Verdana"/>
          <w:b/>
          <w:bCs/>
          <w:sz w:val="16"/>
          <w:szCs w:val="16"/>
        </w:rPr>
        <w:t>.)</w:t>
      </w:r>
    </w:p>
    <w:p w14:paraId="4B13A1D9" w14:textId="77777777" w:rsidR="00A744DB" w:rsidRPr="00987394" w:rsidRDefault="00A744DB" w:rsidP="00150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151FF9D6" w14:textId="34252027" w:rsidR="008E7488" w:rsidRPr="00987394" w:rsidRDefault="008E6464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AA2A57">
        <w:rPr>
          <w:rFonts w:ascii="Verdana" w:hAnsi="Verdana" w:cs="Times New Roman"/>
          <w:sz w:val="20"/>
          <w:szCs w:val="20"/>
          <w:shd w:val="clear" w:color="auto" w:fill="FFFFFF"/>
        </w:rPr>
        <w:t xml:space="preserve">Colleges </w:t>
      </w:r>
      <w:r w:rsidR="00AA2A57" w:rsidRPr="00BD25F3">
        <w:rPr>
          <w:rFonts w:ascii="Verdana" w:hAnsi="Verdana" w:cs="Times New Roman"/>
          <w:sz w:val="20"/>
          <w:szCs w:val="20"/>
          <w:shd w:val="clear" w:color="auto" w:fill="FFFFFF"/>
        </w:rPr>
        <w:t xml:space="preserve">generally </w:t>
      </w:r>
      <w:r w:rsidRPr="00AA2A57">
        <w:rPr>
          <w:rFonts w:ascii="Verdana" w:hAnsi="Verdana" w:cs="Times New Roman"/>
          <w:sz w:val="20"/>
          <w:szCs w:val="20"/>
          <w:shd w:val="clear" w:color="auto" w:fill="FFFFFF"/>
        </w:rPr>
        <w:t>offer</w:t>
      </w:r>
      <w:r w:rsidR="00AA2A57" w:rsidRPr="00BD25F3">
        <w:rPr>
          <w:rFonts w:ascii="Verdana" w:hAnsi="Verdana" w:cs="Times New Roman"/>
          <w:sz w:val="20"/>
          <w:szCs w:val="20"/>
          <w:shd w:val="clear" w:color="auto" w:fill="FFFFFF"/>
        </w:rPr>
        <w:t>ed</w:t>
      </w:r>
      <w:r w:rsidRPr="00AA2A57">
        <w:rPr>
          <w:rFonts w:ascii="Verdana" w:hAnsi="Verdana" w:cs="Times New Roman"/>
          <w:sz w:val="20"/>
          <w:szCs w:val="20"/>
          <w:shd w:val="clear" w:color="auto" w:fill="FFFFFF"/>
        </w:rPr>
        <w:t xml:space="preserve"> the </w:t>
      </w:r>
      <w:r w:rsidR="00F826CF" w:rsidRPr="00AA2A57">
        <w:rPr>
          <w:rFonts w:ascii="Verdana" w:hAnsi="Verdana" w:cs="Times New Roman"/>
          <w:sz w:val="20"/>
          <w:szCs w:val="20"/>
          <w:shd w:val="clear" w:color="auto" w:fill="FFFFFF"/>
        </w:rPr>
        <w:t>most</w:t>
      </w:r>
      <w:r w:rsidR="00A21CEE" w:rsidRPr="00AA2A57">
        <w:rPr>
          <w:rFonts w:ascii="Verdana" w:hAnsi="Verdana" w:cs="Times New Roman"/>
          <w:sz w:val="20"/>
          <w:szCs w:val="20"/>
          <w:shd w:val="clear" w:color="auto" w:fill="FFFFFF"/>
        </w:rPr>
        <w:t xml:space="preserve"> GE</w:t>
      </w:r>
      <w:r w:rsidRPr="00AA2A57">
        <w:rPr>
          <w:rFonts w:ascii="Verdana" w:hAnsi="Verdana" w:cs="Times New Roman"/>
          <w:sz w:val="20"/>
          <w:szCs w:val="20"/>
          <w:shd w:val="clear" w:color="auto" w:fill="FFFFFF"/>
        </w:rPr>
        <w:t xml:space="preserve"> course</w:t>
      </w:r>
      <w:r w:rsidR="00A21CEE" w:rsidRPr="00AA2A57">
        <w:rPr>
          <w:rFonts w:ascii="Verdana" w:hAnsi="Verdana" w:cs="Times New Roman"/>
          <w:sz w:val="20"/>
          <w:szCs w:val="20"/>
          <w:shd w:val="clear" w:color="auto" w:fill="FFFFFF"/>
        </w:rPr>
        <w:t xml:space="preserve"> options</w:t>
      </w:r>
      <w:r w:rsidRPr="00AA2A57">
        <w:rPr>
          <w:rFonts w:ascii="Verdana" w:hAnsi="Verdana" w:cs="Times New Roman"/>
          <w:sz w:val="20"/>
          <w:szCs w:val="20"/>
          <w:shd w:val="clear" w:color="auto" w:fill="FFFFFF"/>
        </w:rPr>
        <w:t xml:space="preserve"> in </w:t>
      </w:r>
      <w:r w:rsidRPr="00BD25F3">
        <w:rPr>
          <w:rFonts w:ascii="Verdana" w:hAnsi="Verdana" w:cs="Times New Roman"/>
          <w:sz w:val="20"/>
          <w:szCs w:val="20"/>
          <w:shd w:val="clear" w:color="auto" w:fill="FFFFFF"/>
        </w:rPr>
        <w:t>Arts and Humanities</w:t>
      </w:r>
      <w:r w:rsidRPr="00AA2A57">
        <w:rPr>
          <w:rFonts w:ascii="Verdana" w:hAnsi="Verdana" w:cs="Times New Roman"/>
          <w:sz w:val="20"/>
          <w:szCs w:val="20"/>
          <w:shd w:val="clear" w:color="auto" w:fill="FFFFFF"/>
        </w:rPr>
        <w:t xml:space="preserve"> and the</w:t>
      </w:r>
      <w:r w:rsidR="009657F4" w:rsidRPr="00AA2A57">
        <w:rPr>
          <w:rFonts w:ascii="Verdana" w:hAnsi="Verdana" w:cs="Times New Roman"/>
          <w:sz w:val="20"/>
          <w:szCs w:val="20"/>
          <w:shd w:val="clear" w:color="auto" w:fill="FFFFFF"/>
        </w:rPr>
        <w:t xml:space="preserve"> least</w:t>
      </w:r>
      <w:r w:rsidRPr="00AA2A57">
        <w:rPr>
          <w:rFonts w:ascii="Verdana" w:hAnsi="Verdana" w:cs="Times New Roman"/>
          <w:sz w:val="20"/>
          <w:szCs w:val="20"/>
          <w:shd w:val="clear" w:color="auto" w:fill="FFFFFF"/>
        </w:rPr>
        <w:t xml:space="preserve"> in </w:t>
      </w:r>
      <w:r w:rsidRPr="00BD25F3">
        <w:rPr>
          <w:rFonts w:ascii="Verdana" w:hAnsi="Verdana" w:cs="Times New Roman"/>
          <w:sz w:val="20"/>
          <w:szCs w:val="20"/>
          <w:shd w:val="clear" w:color="auto" w:fill="FFFFFF"/>
        </w:rPr>
        <w:t>Communication and Composition</w:t>
      </w:r>
      <w:r w:rsidRPr="00AA2A57">
        <w:rPr>
          <w:rFonts w:ascii="Verdana" w:hAnsi="Verdana" w:cs="Times New Roman"/>
          <w:sz w:val="20"/>
          <w:szCs w:val="20"/>
          <w:shd w:val="clear" w:color="auto" w:fill="FFFFFF"/>
        </w:rPr>
        <w:t xml:space="preserve"> and </w:t>
      </w:r>
      <w:r w:rsidRPr="00BD25F3">
        <w:rPr>
          <w:rFonts w:ascii="Verdana" w:hAnsi="Verdana" w:cs="Times New Roman"/>
          <w:sz w:val="20"/>
          <w:szCs w:val="20"/>
          <w:shd w:val="clear" w:color="auto" w:fill="FFFFFF"/>
        </w:rPr>
        <w:t>Mathematics</w:t>
      </w:r>
      <w:r w:rsidRPr="00AA2A57">
        <w:rPr>
          <w:rFonts w:ascii="Verdana" w:hAnsi="Verdana" w:cs="Times New Roman"/>
          <w:sz w:val="20"/>
          <w:szCs w:val="20"/>
          <w:shd w:val="clear" w:color="auto" w:fill="FFFFFF"/>
        </w:rPr>
        <w:t xml:space="preserve">. </w:t>
      </w:r>
      <w:r w:rsidR="008E7488" w:rsidRPr="00AA2A57">
        <w:rPr>
          <w:rFonts w:ascii="Verdana" w:hAnsi="Verdana" w:cs="Times New Roman"/>
          <w:sz w:val="20"/>
          <w:szCs w:val="20"/>
          <w:shd w:val="clear" w:color="auto" w:fill="FFFFFF"/>
        </w:rPr>
        <w:t>On average, large</w:t>
      </w:r>
      <w:r w:rsidR="00AA2A57">
        <w:rPr>
          <w:rFonts w:ascii="Verdana" w:hAnsi="Verdana" w:cs="Times New Roman"/>
          <w:sz w:val="20"/>
          <w:szCs w:val="20"/>
          <w:shd w:val="clear" w:color="auto" w:fill="FFFFFF"/>
        </w:rPr>
        <w:t>-</w:t>
      </w:r>
      <w:r w:rsidR="008E7488" w:rsidRPr="00AA2A57">
        <w:rPr>
          <w:rFonts w:ascii="Verdana" w:hAnsi="Verdana" w:cs="Times New Roman"/>
          <w:sz w:val="20"/>
          <w:szCs w:val="20"/>
          <w:shd w:val="clear" w:color="auto" w:fill="FFFFFF"/>
        </w:rPr>
        <w:t xml:space="preserve"> and medium-sized colleges offered about the same number of choices </w:t>
      </w:r>
      <w:r w:rsidRPr="00AA2A57">
        <w:rPr>
          <w:rFonts w:ascii="Verdana" w:hAnsi="Verdana" w:cs="Times New Roman"/>
          <w:sz w:val="20"/>
          <w:szCs w:val="20"/>
          <w:shd w:val="clear" w:color="auto" w:fill="FFFFFF"/>
        </w:rPr>
        <w:t>for</w:t>
      </w:r>
      <w:r w:rsidR="008E7488" w:rsidRPr="00AA2A57">
        <w:rPr>
          <w:rFonts w:ascii="Verdana" w:hAnsi="Verdana" w:cs="Times New Roman"/>
          <w:sz w:val="20"/>
          <w:szCs w:val="20"/>
          <w:shd w:val="clear" w:color="auto" w:fill="FFFFFF"/>
        </w:rPr>
        <w:t xml:space="preserve"> each </w:t>
      </w:r>
      <w:r w:rsidR="002B3C0E" w:rsidRPr="00AA2A57">
        <w:rPr>
          <w:rFonts w:ascii="Verdana" w:hAnsi="Verdana" w:cs="Times New Roman"/>
          <w:sz w:val="20"/>
          <w:szCs w:val="20"/>
          <w:shd w:val="clear" w:color="auto" w:fill="FFFFFF"/>
        </w:rPr>
        <w:t>GE subject area</w:t>
      </w:r>
      <w:r w:rsidR="008E7488" w:rsidRPr="00AA2A57">
        <w:rPr>
          <w:rFonts w:ascii="Verdana" w:hAnsi="Verdana" w:cs="Times New Roman"/>
          <w:sz w:val="20"/>
          <w:szCs w:val="20"/>
          <w:shd w:val="clear" w:color="auto" w:fill="FFFFFF"/>
        </w:rPr>
        <w:t xml:space="preserve">, and significantly more in each </w:t>
      </w:r>
      <w:r w:rsidRPr="00AA2A57">
        <w:rPr>
          <w:rFonts w:ascii="Verdana" w:hAnsi="Verdana" w:cs="Times New Roman"/>
          <w:sz w:val="20"/>
          <w:szCs w:val="20"/>
          <w:shd w:val="clear" w:color="auto" w:fill="FFFFFF"/>
        </w:rPr>
        <w:t>category</w:t>
      </w:r>
      <w:r w:rsidR="008E7488" w:rsidRPr="00AA2A57">
        <w:rPr>
          <w:rFonts w:ascii="Verdana" w:hAnsi="Verdana" w:cs="Times New Roman"/>
          <w:sz w:val="20"/>
          <w:szCs w:val="20"/>
          <w:shd w:val="clear" w:color="auto" w:fill="FFFFFF"/>
        </w:rPr>
        <w:t xml:space="preserve"> than did small colleges.</w:t>
      </w:r>
      <w:r w:rsidR="008E7488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</w:p>
    <w:p w14:paraId="3A2FCB10" w14:textId="77777777" w:rsidR="00A744DB" w:rsidRPr="00987394" w:rsidRDefault="00A744DB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062E8927" w14:textId="76C08750" w:rsidR="002B3C0E" w:rsidRPr="00987394" w:rsidRDefault="00173EE0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150A87">
        <w:rPr>
          <w:rFonts w:ascii="Verdana" w:hAnsi="Verdana" w:cs="Times New Roman"/>
          <w:sz w:val="20"/>
          <w:szCs w:val="20"/>
          <w:shd w:val="clear" w:color="auto" w:fill="FFFFFF"/>
        </w:rPr>
        <w:t>For</w:t>
      </w:r>
      <w:r w:rsidR="00C25591" w:rsidRPr="00150A87">
        <w:rPr>
          <w:rFonts w:ascii="Verdana" w:hAnsi="Verdana" w:cs="Times New Roman"/>
          <w:sz w:val="20"/>
          <w:szCs w:val="20"/>
          <w:shd w:val="clear" w:color="auto" w:fill="FFFFFF"/>
        </w:rPr>
        <w:t xml:space="preserve"> each </w:t>
      </w:r>
      <w:r w:rsidRPr="00150A87">
        <w:rPr>
          <w:rFonts w:ascii="Verdana" w:hAnsi="Verdana" w:cs="Times New Roman"/>
          <w:sz w:val="20"/>
          <w:szCs w:val="20"/>
          <w:shd w:val="clear" w:color="auto" w:fill="FFFFFF"/>
        </w:rPr>
        <w:t xml:space="preserve">subject </w:t>
      </w:r>
      <w:r w:rsidR="00C25591" w:rsidRPr="00150A87">
        <w:rPr>
          <w:rFonts w:ascii="Verdana" w:hAnsi="Verdana" w:cs="Times New Roman"/>
          <w:sz w:val="20"/>
          <w:szCs w:val="20"/>
          <w:shd w:val="clear" w:color="auto" w:fill="FFFFFF"/>
        </w:rPr>
        <w:t xml:space="preserve">area, </w:t>
      </w:r>
      <w:r w:rsidR="00DA344F" w:rsidRPr="00150A87">
        <w:rPr>
          <w:rFonts w:ascii="Verdana" w:hAnsi="Verdana" w:cs="Times New Roman"/>
          <w:sz w:val="20"/>
          <w:szCs w:val="20"/>
          <w:shd w:val="clear" w:color="auto" w:fill="FFFFFF"/>
        </w:rPr>
        <w:t xml:space="preserve">we found </w:t>
      </w:r>
      <w:r w:rsidR="00C724DF" w:rsidRPr="00150A87">
        <w:rPr>
          <w:rFonts w:ascii="Verdana" w:hAnsi="Verdana" w:cs="Times New Roman"/>
          <w:sz w:val="20"/>
          <w:szCs w:val="20"/>
          <w:shd w:val="clear" w:color="auto" w:fill="FFFFFF"/>
        </w:rPr>
        <w:t xml:space="preserve">colleges of all sizes </w:t>
      </w:r>
      <w:r w:rsidR="007366A4" w:rsidRPr="00150A87">
        <w:rPr>
          <w:rFonts w:ascii="Verdana" w:hAnsi="Verdana" w:cs="Times New Roman"/>
          <w:sz w:val="20"/>
          <w:szCs w:val="20"/>
          <w:shd w:val="clear" w:color="auto" w:fill="FFFFFF"/>
        </w:rPr>
        <w:t>offering</w:t>
      </w:r>
      <w:r w:rsidR="00C724DF" w:rsidRPr="00150A87">
        <w:rPr>
          <w:rFonts w:ascii="Verdana" w:hAnsi="Verdana" w:cs="Times New Roman"/>
          <w:sz w:val="20"/>
          <w:szCs w:val="20"/>
          <w:shd w:val="clear" w:color="auto" w:fill="FFFFFF"/>
        </w:rPr>
        <w:t xml:space="preserve"> very high and very low numbers of GE course options. </w:t>
      </w:r>
      <w:r w:rsidR="008E6464" w:rsidRPr="00150A87">
        <w:rPr>
          <w:rFonts w:ascii="Verdana" w:hAnsi="Verdana" w:cs="Times New Roman"/>
          <w:sz w:val="20"/>
          <w:szCs w:val="20"/>
          <w:shd w:val="clear" w:color="auto" w:fill="FFFFFF"/>
        </w:rPr>
        <w:t>Interestingly, the</w:t>
      </w:r>
      <w:r w:rsidR="00BF6AF5" w:rsidRPr="00150A87">
        <w:rPr>
          <w:rFonts w:ascii="Verdana" w:hAnsi="Verdana" w:cs="Times New Roman"/>
          <w:sz w:val="20"/>
          <w:szCs w:val="20"/>
          <w:shd w:val="clear" w:color="auto" w:fill="FFFFFF"/>
        </w:rPr>
        <w:t xml:space="preserve"> highest number of course offerings for three of the subject categories were in medium-sized colleges. </w:t>
      </w:r>
      <w:r w:rsidR="00E6235E" w:rsidRPr="00150A87">
        <w:rPr>
          <w:rFonts w:ascii="Verdana" w:hAnsi="Verdana" w:cs="Times New Roman"/>
          <w:sz w:val="20"/>
          <w:szCs w:val="20"/>
          <w:shd w:val="clear" w:color="auto" w:fill="FFFFFF"/>
        </w:rPr>
        <w:t>Overall</w:t>
      </w:r>
      <w:r w:rsidR="008E6464" w:rsidRPr="00150A87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="00E6235E" w:rsidRPr="00150A87">
        <w:rPr>
          <w:rFonts w:ascii="Verdana" w:hAnsi="Verdana" w:cs="Times New Roman"/>
          <w:sz w:val="20"/>
          <w:szCs w:val="20"/>
          <w:shd w:val="clear" w:color="auto" w:fill="FFFFFF"/>
        </w:rPr>
        <w:t>s</w:t>
      </w:r>
      <w:r w:rsidR="00C724DF" w:rsidRPr="00150A87">
        <w:rPr>
          <w:rFonts w:ascii="Verdana" w:hAnsi="Verdana" w:cs="Times New Roman"/>
          <w:sz w:val="20"/>
          <w:szCs w:val="20"/>
          <w:shd w:val="clear" w:color="auto" w:fill="FFFFFF"/>
        </w:rPr>
        <w:t xml:space="preserve">mall colleges </w:t>
      </w:r>
      <w:r w:rsidR="00CF6090" w:rsidRPr="00150A87">
        <w:rPr>
          <w:rFonts w:ascii="Verdana" w:hAnsi="Verdana" w:cs="Times New Roman"/>
          <w:sz w:val="20"/>
          <w:szCs w:val="20"/>
          <w:shd w:val="clear" w:color="auto" w:fill="FFFFFF"/>
        </w:rPr>
        <w:t>listed</w:t>
      </w:r>
      <w:r w:rsidR="00C724DF" w:rsidRPr="00150A87">
        <w:rPr>
          <w:rFonts w:ascii="Verdana" w:hAnsi="Verdana" w:cs="Times New Roman"/>
          <w:sz w:val="20"/>
          <w:szCs w:val="20"/>
          <w:shd w:val="clear" w:color="auto" w:fill="FFFFFF"/>
        </w:rPr>
        <w:t xml:space="preserve"> fewer GE course options</w:t>
      </w:r>
      <w:r w:rsidR="00CF6090" w:rsidRPr="00150A87">
        <w:rPr>
          <w:rFonts w:ascii="Verdana" w:hAnsi="Verdana" w:cs="Times New Roman"/>
          <w:sz w:val="20"/>
          <w:szCs w:val="20"/>
          <w:shd w:val="clear" w:color="auto" w:fill="FFFFFF"/>
        </w:rPr>
        <w:t xml:space="preserve">. However, </w:t>
      </w:r>
      <w:r w:rsidR="00C25591" w:rsidRPr="00150A87">
        <w:rPr>
          <w:rFonts w:ascii="Verdana" w:hAnsi="Verdana" w:cs="Times New Roman"/>
          <w:sz w:val="20"/>
          <w:szCs w:val="20"/>
          <w:shd w:val="clear" w:color="auto" w:fill="FFFFFF"/>
        </w:rPr>
        <w:t>s</w:t>
      </w:r>
      <w:r w:rsidR="00FD0A1C" w:rsidRPr="00150A87">
        <w:rPr>
          <w:rFonts w:ascii="Verdana" w:hAnsi="Verdana" w:cs="Times New Roman"/>
          <w:sz w:val="20"/>
          <w:szCs w:val="20"/>
          <w:shd w:val="clear" w:color="auto" w:fill="FFFFFF"/>
        </w:rPr>
        <w:t>everal s</w:t>
      </w:r>
      <w:r w:rsidR="00C25591" w:rsidRPr="00150A87">
        <w:rPr>
          <w:rFonts w:ascii="Verdana" w:hAnsi="Verdana" w:cs="Times New Roman"/>
          <w:sz w:val="20"/>
          <w:szCs w:val="20"/>
          <w:shd w:val="clear" w:color="auto" w:fill="FFFFFF"/>
        </w:rPr>
        <w:t xml:space="preserve">mall colleges in the study </w:t>
      </w:r>
      <w:r w:rsidR="00E6235E" w:rsidRPr="00150A87">
        <w:rPr>
          <w:rFonts w:ascii="Verdana" w:hAnsi="Verdana" w:cs="Times New Roman"/>
          <w:sz w:val="20"/>
          <w:szCs w:val="20"/>
          <w:shd w:val="clear" w:color="auto" w:fill="FFFFFF"/>
        </w:rPr>
        <w:t>sample</w:t>
      </w:r>
      <w:r w:rsidR="00C25591" w:rsidRPr="00150A87">
        <w:rPr>
          <w:rFonts w:ascii="Verdana" w:hAnsi="Verdana" w:cs="Times New Roman"/>
          <w:sz w:val="20"/>
          <w:szCs w:val="20"/>
          <w:shd w:val="clear" w:color="auto" w:fill="FFFFFF"/>
        </w:rPr>
        <w:t xml:space="preserve"> offered</w:t>
      </w:r>
      <w:bookmarkStart w:id="4" w:name="_Hlk69748510"/>
      <w:r w:rsidR="00C724DF" w:rsidRPr="00150A87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C25591" w:rsidRPr="00150A87">
        <w:rPr>
          <w:rFonts w:ascii="Verdana" w:hAnsi="Verdana" w:cs="Times New Roman"/>
          <w:sz w:val="20"/>
          <w:szCs w:val="20"/>
          <w:shd w:val="clear" w:color="auto" w:fill="FFFFFF"/>
        </w:rPr>
        <w:t xml:space="preserve">more </w:t>
      </w:r>
      <w:r w:rsidR="007366A4" w:rsidRPr="00150A87">
        <w:rPr>
          <w:rFonts w:ascii="Verdana" w:hAnsi="Verdana" w:cs="Times New Roman"/>
          <w:sz w:val="20"/>
          <w:szCs w:val="20"/>
          <w:shd w:val="clear" w:color="auto" w:fill="FFFFFF"/>
        </w:rPr>
        <w:t xml:space="preserve">GE </w:t>
      </w:r>
      <w:r w:rsidR="00C25591" w:rsidRPr="00150A87">
        <w:rPr>
          <w:rFonts w:ascii="Verdana" w:hAnsi="Verdana" w:cs="Times New Roman"/>
          <w:sz w:val="20"/>
          <w:szCs w:val="20"/>
          <w:shd w:val="clear" w:color="auto" w:fill="FFFFFF"/>
        </w:rPr>
        <w:t>courses than some large colleges. Clearly, institutional size was not the only determina</w:t>
      </w:r>
      <w:r w:rsidR="00AE2C30" w:rsidRPr="00150A87">
        <w:rPr>
          <w:rFonts w:ascii="Verdana" w:hAnsi="Verdana" w:cs="Times New Roman"/>
          <w:sz w:val="20"/>
          <w:szCs w:val="20"/>
          <w:shd w:val="clear" w:color="auto" w:fill="FFFFFF"/>
        </w:rPr>
        <w:t>nt</w:t>
      </w:r>
      <w:r w:rsidR="00C25591" w:rsidRPr="00150A87">
        <w:rPr>
          <w:rFonts w:ascii="Verdana" w:hAnsi="Verdana" w:cs="Times New Roman"/>
          <w:sz w:val="20"/>
          <w:szCs w:val="20"/>
          <w:shd w:val="clear" w:color="auto" w:fill="FFFFFF"/>
        </w:rPr>
        <w:t xml:space="preserve"> of </w:t>
      </w:r>
      <w:r w:rsidR="00FD0A1C" w:rsidRPr="00150A87">
        <w:rPr>
          <w:rFonts w:ascii="Verdana" w:hAnsi="Verdana" w:cs="Times New Roman"/>
          <w:sz w:val="20"/>
          <w:szCs w:val="20"/>
          <w:shd w:val="clear" w:color="auto" w:fill="FFFFFF"/>
        </w:rPr>
        <w:t>the number of</w:t>
      </w:r>
      <w:r w:rsidR="00C25591" w:rsidRPr="00150A87">
        <w:rPr>
          <w:rFonts w:ascii="Verdana" w:hAnsi="Verdana" w:cs="Times New Roman"/>
          <w:sz w:val="20"/>
          <w:szCs w:val="20"/>
          <w:shd w:val="clear" w:color="auto" w:fill="FFFFFF"/>
        </w:rPr>
        <w:t xml:space="preserve"> GE course options presented to students</w:t>
      </w:r>
      <w:r w:rsidR="00FB4CBB" w:rsidRPr="00150A87">
        <w:rPr>
          <w:rFonts w:ascii="Verdana" w:hAnsi="Verdana" w:cs="Times New Roman"/>
          <w:sz w:val="20"/>
          <w:szCs w:val="20"/>
          <w:shd w:val="clear" w:color="auto" w:fill="FFFFFF"/>
        </w:rPr>
        <w:t xml:space="preserve"> to meet GE requirements</w:t>
      </w:r>
      <w:r w:rsidR="00C25591" w:rsidRPr="00150A87">
        <w:rPr>
          <w:rFonts w:ascii="Verdana" w:hAnsi="Verdana" w:cs="Times New Roman"/>
          <w:sz w:val="20"/>
          <w:szCs w:val="20"/>
          <w:shd w:val="clear" w:color="auto" w:fill="FFFFFF"/>
        </w:rPr>
        <w:t>.</w:t>
      </w:r>
      <w:bookmarkEnd w:id="4"/>
    </w:p>
    <w:p w14:paraId="128E2C38" w14:textId="77777777" w:rsidR="00A744DB" w:rsidRPr="00987394" w:rsidRDefault="00A744DB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b/>
          <w:bCs/>
          <w:i/>
          <w:iCs/>
          <w:sz w:val="20"/>
          <w:szCs w:val="20"/>
          <w:shd w:val="clear" w:color="auto" w:fill="FFFFFF"/>
        </w:rPr>
      </w:pPr>
    </w:p>
    <w:p w14:paraId="7C1DC1EF" w14:textId="1C981C9B" w:rsidR="00CE70F2" w:rsidRPr="00150A87" w:rsidRDefault="00CE70F2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150A87">
        <w:rPr>
          <w:rFonts w:ascii="Verdana" w:hAnsi="Verdana" w:cs="Times New Roman"/>
          <w:sz w:val="20"/>
          <w:szCs w:val="20"/>
          <w:shd w:val="clear" w:color="auto" w:fill="FFFFFF"/>
        </w:rPr>
        <w:t xml:space="preserve">Arts </w:t>
      </w:r>
      <w:r w:rsidR="00115501" w:rsidRPr="00150A87">
        <w:rPr>
          <w:rFonts w:ascii="Verdana" w:hAnsi="Verdana" w:cs="Times New Roman"/>
          <w:sz w:val="20"/>
          <w:szCs w:val="20"/>
          <w:shd w:val="clear" w:color="auto" w:fill="FFFFFF"/>
        </w:rPr>
        <w:t xml:space="preserve">and </w:t>
      </w:r>
      <w:r w:rsidRPr="00150A87">
        <w:rPr>
          <w:rFonts w:ascii="Verdana" w:hAnsi="Verdana" w:cs="Times New Roman"/>
          <w:sz w:val="20"/>
          <w:szCs w:val="20"/>
          <w:shd w:val="clear" w:color="auto" w:fill="FFFFFF"/>
        </w:rPr>
        <w:t>Humanities</w:t>
      </w:r>
    </w:p>
    <w:p w14:paraId="5C755704" w14:textId="77777777" w:rsidR="00A744DB" w:rsidRPr="00987394" w:rsidRDefault="00A744DB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0BBC3B19" w14:textId="0F4F481F" w:rsidR="002E3D09" w:rsidRPr="00987394" w:rsidRDefault="00D344C5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The </w:t>
      </w:r>
      <w:r w:rsidR="0039568A" w:rsidRPr="00987394">
        <w:rPr>
          <w:rFonts w:ascii="Verdana" w:hAnsi="Verdana" w:cs="Times New Roman"/>
          <w:sz w:val="20"/>
          <w:szCs w:val="20"/>
          <w:shd w:val="clear" w:color="auto" w:fill="FFFFFF"/>
        </w:rPr>
        <w:t>greatest number of</w:t>
      </w:r>
      <w:r w:rsidR="00CE70F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6736CC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GE </w:t>
      </w:r>
      <w:r w:rsidR="00CE70F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course </w:t>
      </w:r>
      <w:r w:rsidR="006736CC" w:rsidRPr="00987394">
        <w:rPr>
          <w:rFonts w:ascii="Verdana" w:hAnsi="Verdana" w:cs="Times New Roman"/>
          <w:sz w:val="20"/>
          <w:szCs w:val="20"/>
          <w:shd w:val="clear" w:color="auto" w:fill="FFFFFF"/>
        </w:rPr>
        <w:t>options</w:t>
      </w:r>
      <w:r w:rsidR="00CE70F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were in </w:t>
      </w:r>
      <w:r w:rsidR="00973172" w:rsidRPr="00BD25F3">
        <w:rPr>
          <w:rFonts w:ascii="Verdana" w:hAnsi="Verdana" w:cs="Times New Roman"/>
          <w:sz w:val="20"/>
          <w:szCs w:val="20"/>
          <w:shd w:val="clear" w:color="auto" w:fill="FFFFFF"/>
        </w:rPr>
        <w:t>Arts and Humanities</w:t>
      </w:r>
      <w:r w:rsidR="00420B13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, with </w:t>
      </w:r>
      <w:r w:rsidR="00DA344F" w:rsidRPr="00987394">
        <w:rPr>
          <w:rFonts w:ascii="Verdana" w:hAnsi="Verdana" w:cs="Times New Roman"/>
          <w:sz w:val="20"/>
          <w:szCs w:val="20"/>
          <w:shd w:val="clear" w:color="auto" w:fill="FFFFFF"/>
        </w:rPr>
        <w:t>as many as</w:t>
      </w:r>
      <w:r w:rsidR="00420B13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6C336B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167 </w:t>
      </w:r>
      <w:r w:rsidR="00420B13" w:rsidRPr="00987394">
        <w:rPr>
          <w:rFonts w:ascii="Verdana" w:hAnsi="Verdana" w:cs="Times New Roman"/>
          <w:sz w:val="20"/>
          <w:szCs w:val="20"/>
          <w:shd w:val="clear" w:color="auto" w:fill="FFFFFF"/>
        </w:rPr>
        <w:t>choices</w:t>
      </w:r>
      <w:r w:rsidR="006C336B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for </w:t>
      </w:r>
      <w:r w:rsidR="00150A87">
        <w:rPr>
          <w:rFonts w:ascii="Verdana" w:hAnsi="Verdana" w:cs="Times New Roman"/>
          <w:sz w:val="20"/>
          <w:szCs w:val="20"/>
          <w:shd w:val="clear" w:color="auto" w:fill="FFFFFF"/>
        </w:rPr>
        <w:t>three</w:t>
      </w:r>
      <w:r w:rsidR="00F54A3C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6C336B" w:rsidRPr="00987394">
        <w:rPr>
          <w:rFonts w:ascii="Verdana" w:hAnsi="Verdana" w:cs="Times New Roman"/>
          <w:sz w:val="20"/>
          <w:szCs w:val="20"/>
          <w:shd w:val="clear" w:color="auto" w:fill="FFFFFF"/>
        </w:rPr>
        <w:t>required courses</w:t>
      </w:r>
      <w:r w:rsidR="00E31295" w:rsidRPr="00987394">
        <w:rPr>
          <w:rFonts w:ascii="Verdana" w:hAnsi="Verdana" w:cs="Times New Roman"/>
          <w:sz w:val="20"/>
          <w:szCs w:val="20"/>
          <w:shd w:val="clear" w:color="auto" w:fill="FFFFFF"/>
        </w:rPr>
        <w:t>.</w:t>
      </w:r>
      <w:r w:rsidR="003752CD" w:rsidRPr="00987394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 xml:space="preserve"> </w:t>
      </w:r>
      <w:r w:rsidR="000A7886" w:rsidRPr="00987394">
        <w:rPr>
          <w:rFonts w:ascii="Verdana" w:hAnsi="Verdana" w:cs="Times New Roman"/>
          <w:sz w:val="20"/>
          <w:szCs w:val="20"/>
          <w:shd w:val="clear" w:color="auto" w:fill="FFFFFF"/>
        </w:rPr>
        <w:t>C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>olleges</w:t>
      </w:r>
      <w:r w:rsidR="00CE70F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required</w:t>
      </w:r>
      <w:r w:rsidR="00E20EDE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students to </w:t>
      </w:r>
      <w:r w:rsidR="000A7886" w:rsidRPr="00987394">
        <w:rPr>
          <w:rFonts w:ascii="Verdana" w:hAnsi="Verdana" w:cs="Times New Roman"/>
          <w:sz w:val="20"/>
          <w:szCs w:val="20"/>
          <w:shd w:val="clear" w:color="auto" w:fill="FFFFFF"/>
        </w:rPr>
        <w:t>choose</w:t>
      </w:r>
      <w:r w:rsidR="00CE70F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6B2AD2" w:rsidRPr="00987394">
        <w:rPr>
          <w:rFonts w:ascii="Verdana" w:hAnsi="Verdana" w:cs="Times New Roman"/>
          <w:sz w:val="20"/>
          <w:szCs w:val="20"/>
          <w:shd w:val="clear" w:color="auto" w:fill="FFFFFF"/>
        </w:rPr>
        <w:t>two</w:t>
      </w:r>
      <w:r w:rsidR="00CE70F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or </w:t>
      </w:r>
      <w:r w:rsidR="006B2AD2" w:rsidRPr="00987394">
        <w:rPr>
          <w:rFonts w:ascii="Verdana" w:hAnsi="Verdana" w:cs="Times New Roman"/>
          <w:sz w:val="20"/>
          <w:szCs w:val="20"/>
          <w:shd w:val="clear" w:color="auto" w:fill="FFFFFF"/>
        </w:rPr>
        <w:t>three</w:t>
      </w:r>
      <w:r w:rsidR="0039568A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course</w:t>
      </w:r>
      <w:r w:rsidR="00231358" w:rsidRPr="00987394">
        <w:rPr>
          <w:rFonts w:ascii="Verdana" w:hAnsi="Verdana" w:cs="Times New Roman"/>
          <w:sz w:val="20"/>
          <w:szCs w:val="20"/>
          <w:shd w:val="clear" w:color="auto" w:fill="FFFFFF"/>
        </w:rPr>
        <w:t>s</w:t>
      </w:r>
      <w:r w:rsidR="0039568A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in this area</w:t>
      </w:r>
      <w:r w:rsidR="00E20EDE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E74D96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from 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>an</w:t>
      </w:r>
      <w:r w:rsidR="000A7886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average of </w:t>
      </w:r>
      <w:r w:rsidR="00E74D96" w:rsidRPr="00987394">
        <w:rPr>
          <w:rFonts w:ascii="Verdana" w:hAnsi="Verdana" w:cs="Times New Roman"/>
          <w:sz w:val="20"/>
          <w:szCs w:val="20"/>
          <w:shd w:val="clear" w:color="auto" w:fill="FFFFFF"/>
        </w:rPr>
        <w:t>55</w:t>
      </w:r>
      <w:r w:rsidR="00F107AA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>alternatives</w:t>
      </w:r>
      <w:r w:rsidR="00E74D96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. </w:t>
      </w:r>
      <w:r w:rsidR="007F7369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Large colleges </w:t>
      </w:r>
      <w:r w:rsidR="00E20EDE" w:rsidRPr="00987394">
        <w:rPr>
          <w:rFonts w:ascii="Verdana" w:hAnsi="Verdana" w:cs="Times New Roman"/>
          <w:sz w:val="20"/>
          <w:szCs w:val="20"/>
          <w:shd w:val="clear" w:color="auto" w:fill="FFFFFF"/>
        </w:rPr>
        <w:t>approved</w:t>
      </w:r>
      <w:r w:rsidR="007F7369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753AFE" w:rsidRPr="00987394">
        <w:rPr>
          <w:rFonts w:ascii="Verdana" w:hAnsi="Verdana" w:cs="Times New Roman"/>
          <w:sz w:val="20"/>
          <w:szCs w:val="20"/>
          <w:shd w:val="clear" w:color="auto" w:fill="FFFFFF"/>
        </w:rPr>
        <w:t>63, medium colleges approved</w:t>
      </w:r>
      <w:r w:rsidR="00231358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72</w:t>
      </w:r>
      <w:r w:rsidR="00753AFE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, and </w:t>
      </w:r>
      <w:r w:rsidR="007F7369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small colleges </w:t>
      </w:r>
      <w:r w:rsidR="00753AFE" w:rsidRPr="00987394">
        <w:rPr>
          <w:rFonts w:ascii="Verdana" w:hAnsi="Verdana" w:cs="Times New Roman"/>
          <w:sz w:val="20"/>
          <w:szCs w:val="20"/>
          <w:shd w:val="clear" w:color="auto" w:fill="FFFFFF"/>
        </w:rPr>
        <w:t>approved</w:t>
      </w:r>
      <w:r w:rsidR="007F7369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650C07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29 </w:t>
      </w:r>
      <w:r w:rsidR="00753AFE" w:rsidRPr="00987394">
        <w:rPr>
          <w:rFonts w:ascii="Verdana" w:hAnsi="Verdana" w:cs="Times New Roman"/>
          <w:sz w:val="20"/>
          <w:szCs w:val="20"/>
          <w:shd w:val="clear" w:color="auto" w:fill="FFFFFF"/>
        </w:rPr>
        <w:t>arts and humanities courses, on average.</w:t>
      </w:r>
      <w:r w:rsidR="000B24D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</w:p>
    <w:p w14:paraId="7210F1CA" w14:textId="77777777" w:rsidR="00A744DB" w:rsidRPr="00987394" w:rsidRDefault="00A744DB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4587175D" w14:textId="06CA1AF5" w:rsidR="006736CC" w:rsidRPr="00150A87" w:rsidRDefault="006736CC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150A87">
        <w:rPr>
          <w:rFonts w:ascii="Verdana" w:hAnsi="Verdana" w:cs="Times New Roman"/>
          <w:sz w:val="20"/>
          <w:szCs w:val="20"/>
          <w:shd w:val="clear" w:color="auto" w:fill="FFFFFF"/>
        </w:rPr>
        <w:t>Social and Behavioral Science</w:t>
      </w:r>
      <w:r w:rsidR="00C959AA" w:rsidRPr="00150A87">
        <w:rPr>
          <w:rFonts w:ascii="Verdana" w:hAnsi="Verdana" w:cs="Times New Roman"/>
          <w:sz w:val="20"/>
          <w:szCs w:val="20"/>
          <w:shd w:val="clear" w:color="auto" w:fill="FFFFFF"/>
        </w:rPr>
        <w:t>s</w:t>
      </w:r>
      <w:r w:rsidRPr="00150A87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</w:p>
    <w:p w14:paraId="760504D4" w14:textId="77777777" w:rsidR="00A744DB" w:rsidRPr="00987394" w:rsidRDefault="00A744DB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684BF872" w14:textId="11B7305D" w:rsidR="006736CC" w:rsidRPr="00987394" w:rsidRDefault="006736CC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In </w:t>
      </w:r>
      <w:r w:rsidRPr="00BD25F3">
        <w:rPr>
          <w:rFonts w:ascii="Verdana" w:hAnsi="Verdana" w:cs="Times New Roman"/>
          <w:sz w:val="20"/>
          <w:szCs w:val="20"/>
          <w:shd w:val="clear" w:color="auto" w:fill="FFFFFF"/>
        </w:rPr>
        <w:t>Social and Behavioral Science</w:t>
      </w:r>
      <w:r w:rsidR="003752CD" w:rsidRPr="00BD25F3">
        <w:rPr>
          <w:rFonts w:ascii="Verdana" w:hAnsi="Verdana" w:cs="Times New Roman"/>
          <w:sz w:val="20"/>
          <w:szCs w:val="20"/>
          <w:shd w:val="clear" w:color="auto" w:fill="FFFFFF"/>
        </w:rPr>
        <w:t>s</w:t>
      </w:r>
      <w:r w:rsidR="00FB2248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="000A7886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students had to complete </w:t>
      </w:r>
      <w:r w:rsidR="00704CB4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one to three </w:t>
      </w:r>
      <w:r w:rsidR="007517F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GE </w:t>
      </w:r>
      <w:r w:rsidR="00704CB4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courses 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from </w:t>
      </w:r>
      <w:r w:rsidR="00704CB4" w:rsidRPr="00987394">
        <w:rPr>
          <w:rFonts w:ascii="Verdana" w:hAnsi="Verdana" w:cs="Times New Roman"/>
          <w:sz w:val="20"/>
          <w:szCs w:val="20"/>
          <w:shd w:val="clear" w:color="auto" w:fill="FFFFFF"/>
        </w:rPr>
        <w:t>an average of 33 options</w:t>
      </w:r>
      <w:r w:rsidR="00CB17DC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. </w:t>
      </w:r>
      <w:r w:rsidR="00E10D72" w:rsidRPr="00987394">
        <w:rPr>
          <w:rFonts w:ascii="Verdana" w:hAnsi="Verdana" w:cs="Times New Roman"/>
          <w:sz w:val="20"/>
          <w:szCs w:val="20"/>
          <w:shd w:val="clear" w:color="auto" w:fill="FFFFFF"/>
        </w:rPr>
        <w:t>Options</w:t>
      </w:r>
      <w:r w:rsidR="005604EE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CB17DC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ranged from </w:t>
      </w:r>
      <w:r w:rsidR="00FB2248" w:rsidRPr="00987394">
        <w:rPr>
          <w:rFonts w:ascii="Verdana" w:hAnsi="Verdana" w:cs="Times New Roman"/>
          <w:sz w:val="20"/>
          <w:szCs w:val="20"/>
          <w:shd w:val="clear" w:color="auto" w:fill="FFFFFF"/>
        </w:rPr>
        <w:t>9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to 144</w:t>
      </w:r>
      <w:r w:rsidR="00134F2C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E10D7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courses </w:t>
      </w:r>
      <w:r w:rsidR="00134F2C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across </w:t>
      </w:r>
      <w:r w:rsidR="007517F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all </w:t>
      </w:r>
      <w:r w:rsidR="00704CB4" w:rsidRPr="00987394">
        <w:rPr>
          <w:rFonts w:ascii="Verdana" w:hAnsi="Verdana" w:cs="Times New Roman"/>
          <w:sz w:val="20"/>
          <w:szCs w:val="20"/>
          <w:shd w:val="clear" w:color="auto" w:fill="FFFFFF"/>
        </w:rPr>
        <w:t>institutions</w:t>
      </w:r>
      <w:r w:rsidR="00134F2C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. 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Eight of the 10 large colleges </w:t>
      </w:r>
      <w:r w:rsidR="00E10D72" w:rsidRPr="00987394">
        <w:rPr>
          <w:rFonts w:ascii="Verdana" w:hAnsi="Verdana" w:cs="Times New Roman"/>
          <w:sz w:val="20"/>
          <w:szCs w:val="20"/>
          <w:shd w:val="clear" w:color="auto" w:fill="FFFFFF"/>
        </w:rPr>
        <w:t>limited options to</w:t>
      </w:r>
      <w:r w:rsidR="00F107AA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>fewer than 3</w:t>
      </w:r>
      <w:r w:rsidR="004C5203" w:rsidRPr="00987394">
        <w:rPr>
          <w:rFonts w:ascii="Verdana" w:hAnsi="Verdana" w:cs="Times New Roman"/>
          <w:sz w:val="20"/>
          <w:szCs w:val="20"/>
          <w:shd w:val="clear" w:color="auto" w:fill="FFFFFF"/>
        </w:rPr>
        <w:t>1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course</w:t>
      </w:r>
      <w:r w:rsidR="0027599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s 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>in this area</w:t>
      </w:r>
      <w:r w:rsidR="004C5203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, but only </w:t>
      </w:r>
      <w:r w:rsidR="006B2AD2" w:rsidRPr="00987394">
        <w:rPr>
          <w:rFonts w:ascii="Verdana" w:hAnsi="Verdana" w:cs="Times New Roman"/>
          <w:sz w:val="20"/>
          <w:szCs w:val="20"/>
          <w:shd w:val="clear" w:color="auto" w:fill="FFFFFF"/>
        </w:rPr>
        <w:t>three</w:t>
      </w:r>
      <w:r w:rsidR="00E10D7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4C5203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medium colleges </w:t>
      </w:r>
      <w:r w:rsidR="00B40B59" w:rsidRPr="00F3220F">
        <w:rPr>
          <w:rFonts w:ascii="Verdana" w:hAnsi="Verdana" w:cs="Times New Roman"/>
          <w:sz w:val="20"/>
          <w:szCs w:val="20"/>
          <w:shd w:val="clear" w:color="auto" w:fill="FFFFFF"/>
        </w:rPr>
        <w:t>had</w:t>
      </w:r>
      <w:r w:rsidR="004C5203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 such parsimonious offerings. </w:t>
      </w:r>
      <w:r w:rsidR="00F91BF2" w:rsidRPr="00F3220F">
        <w:rPr>
          <w:rFonts w:ascii="Verdana" w:hAnsi="Verdana" w:cs="Times New Roman"/>
          <w:sz w:val="20"/>
          <w:szCs w:val="20"/>
          <w:shd w:val="clear" w:color="auto" w:fill="FFFFFF"/>
        </w:rPr>
        <w:t>Six medium colleges and one small college approved</w:t>
      </w:r>
      <w:r w:rsidR="00222C34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275990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over </w:t>
      </w:r>
      <w:r w:rsidR="00F91BF2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50 </w:t>
      </w:r>
      <w:r w:rsidR="00A04CFD" w:rsidRPr="00F3220F">
        <w:rPr>
          <w:rFonts w:ascii="Verdana" w:hAnsi="Verdana" w:cs="Times New Roman"/>
          <w:sz w:val="20"/>
          <w:szCs w:val="20"/>
          <w:shd w:val="clear" w:color="auto" w:fill="FFFFFF"/>
        </w:rPr>
        <w:t>social and behavioral science courses</w:t>
      </w:r>
      <w:r w:rsidR="00B40B59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 to meet a two-course requirement.</w:t>
      </w:r>
      <w:r w:rsidR="000B24D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</w:p>
    <w:p w14:paraId="7A0AA49F" w14:textId="77777777" w:rsidR="00A744DB" w:rsidRPr="00987394" w:rsidRDefault="00A744DB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10E0A184" w14:textId="165F3DF0" w:rsidR="00EE5B5A" w:rsidRPr="00150A87" w:rsidRDefault="00EE5B5A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150A87">
        <w:rPr>
          <w:rFonts w:ascii="Verdana" w:hAnsi="Verdana" w:cs="Times New Roman"/>
          <w:sz w:val="20"/>
          <w:szCs w:val="20"/>
          <w:shd w:val="clear" w:color="auto" w:fill="FFFFFF"/>
        </w:rPr>
        <w:t>Natural Sciences</w:t>
      </w:r>
    </w:p>
    <w:p w14:paraId="4E85EE12" w14:textId="77777777" w:rsidR="00A744DB" w:rsidRPr="00987394" w:rsidRDefault="00A744DB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19A64982" w14:textId="5F313C46" w:rsidR="00D55231" w:rsidRPr="00F3220F" w:rsidRDefault="00EE5B5A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lastRenderedPageBreak/>
        <w:t xml:space="preserve">In the </w:t>
      </w:r>
      <w:r w:rsidRPr="00BD25F3">
        <w:rPr>
          <w:rFonts w:ascii="Verdana" w:hAnsi="Verdana" w:cs="Times New Roman"/>
          <w:sz w:val="20"/>
          <w:szCs w:val="20"/>
          <w:shd w:val="clear" w:color="auto" w:fill="FFFFFF"/>
        </w:rPr>
        <w:t>Natural Sciences</w:t>
      </w:r>
      <w:r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 xml:space="preserve"> </w:t>
      </w:r>
      <w:r w:rsidR="005604EE" w:rsidRPr="00987394">
        <w:rPr>
          <w:rFonts w:ascii="Verdana" w:hAnsi="Verdana" w:cs="Times New Roman"/>
          <w:sz w:val="20"/>
          <w:szCs w:val="20"/>
          <w:shd w:val="clear" w:color="auto" w:fill="FFFFFF"/>
        </w:rPr>
        <w:t>group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, colleges </w:t>
      </w:r>
      <w:r w:rsidR="006E6374" w:rsidRPr="00987394">
        <w:rPr>
          <w:rFonts w:ascii="Verdana" w:hAnsi="Verdana" w:cs="Times New Roman"/>
          <w:sz w:val="20"/>
          <w:szCs w:val="20"/>
          <w:shd w:val="clear" w:color="auto" w:fill="FFFFFF"/>
        </w:rPr>
        <w:t>required students to choose two</w:t>
      </w:r>
      <w:r w:rsidR="002822E1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from</w:t>
      </w:r>
      <w:r w:rsidR="0054664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a</w:t>
      </w:r>
      <w:r w:rsidR="002822E1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pool </w:t>
      </w:r>
      <w:r w:rsidR="00DF2C4D" w:rsidRPr="00987394">
        <w:rPr>
          <w:rFonts w:ascii="Verdana" w:hAnsi="Verdana" w:cs="Times New Roman"/>
          <w:sz w:val="20"/>
          <w:szCs w:val="20"/>
          <w:shd w:val="clear" w:color="auto" w:fill="FFFFFF"/>
        </w:rPr>
        <w:t>averaging</w:t>
      </w:r>
      <w:r w:rsidR="002822E1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28 </w:t>
      </w:r>
      <w:r w:rsidR="00546642" w:rsidRPr="00987394">
        <w:rPr>
          <w:rFonts w:ascii="Verdana" w:hAnsi="Verdana" w:cs="Times New Roman"/>
          <w:sz w:val="20"/>
          <w:szCs w:val="20"/>
          <w:shd w:val="clear" w:color="auto" w:fill="FFFFFF"/>
        </w:rPr>
        <w:t>approved</w:t>
      </w:r>
      <w:r w:rsidR="006E6374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courses</w:t>
      </w:r>
      <w:r w:rsidR="002822E1" w:rsidRPr="00987394">
        <w:rPr>
          <w:rFonts w:ascii="Verdana" w:hAnsi="Verdana" w:cs="Times New Roman"/>
          <w:sz w:val="20"/>
          <w:szCs w:val="20"/>
          <w:shd w:val="clear" w:color="auto" w:fill="FFFFFF"/>
        </w:rPr>
        <w:t>.</w:t>
      </w:r>
      <w:r w:rsidR="002E375C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We found s</w:t>
      </w:r>
      <w:r w:rsidR="002822E1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maller overall differences </w:t>
      </w:r>
      <w:r w:rsidR="00DF2C4D" w:rsidRPr="00987394">
        <w:rPr>
          <w:rFonts w:ascii="Verdana" w:hAnsi="Verdana" w:cs="Times New Roman"/>
          <w:sz w:val="20"/>
          <w:szCs w:val="20"/>
          <w:shd w:val="clear" w:color="auto" w:fill="FFFFFF"/>
        </w:rPr>
        <w:t>in</w:t>
      </w:r>
      <w:r w:rsidR="002822E1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course options </w:t>
      </w:r>
      <w:r w:rsidR="002E375C" w:rsidRPr="00987394">
        <w:rPr>
          <w:rFonts w:ascii="Verdana" w:hAnsi="Verdana" w:cs="Times New Roman"/>
          <w:sz w:val="20"/>
          <w:szCs w:val="20"/>
          <w:shd w:val="clear" w:color="auto" w:fill="FFFFFF"/>
        </w:rPr>
        <w:t>in this</w:t>
      </w:r>
      <w:r w:rsidR="0014425E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GE area, with large colleges averaging 31 </w:t>
      </w:r>
      <w:r w:rsidR="00484331" w:rsidRPr="00987394">
        <w:rPr>
          <w:rFonts w:ascii="Verdana" w:hAnsi="Verdana" w:cs="Times New Roman"/>
          <w:sz w:val="20"/>
          <w:szCs w:val="20"/>
          <w:shd w:val="clear" w:color="auto" w:fill="FFFFFF"/>
        </w:rPr>
        <w:t>options</w:t>
      </w:r>
      <w:r w:rsidR="0014425E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, medium-sized colleges averaging 33, </w:t>
      </w:r>
      <w:r w:rsidR="0014425E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and small colleges averaging 21 courses. </w:t>
      </w:r>
      <w:r w:rsidR="00275990" w:rsidRPr="00F3220F">
        <w:rPr>
          <w:rFonts w:ascii="Verdana" w:hAnsi="Verdana" w:cs="Times New Roman"/>
          <w:sz w:val="20"/>
          <w:szCs w:val="20"/>
          <w:shd w:val="clear" w:color="auto" w:fill="FFFFFF"/>
        </w:rPr>
        <w:t>Overall, c</w:t>
      </w:r>
      <w:r w:rsidR="00AD25C6" w:rsidRPr="00F3220F">
        <w:rPr>
          <w:rFonts w:ascii="Verdana" w:hAnsi="Verdana" w:cs="Times New Roman"/>
          <w:sz w:val="20"/>
          <w:szCs w:val="20"/>
          <w:shd w:val="clear" w:color="auto" w:fill="FFFFFF"/>
        </w:rPr>
        <w:t>olleges listed as few as</w:t>
      </w:r>
      <w:r w:rsidR="00275990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 five</w:t>
      </w:r>
      <w:r w:rsidR="0014425E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AD25C6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and as many as </w:t>
      </w:r>
      <w:r w:rsidR="009978BB" w:rsidRPr="00F3220F">
        <w:rPr>
          <w:rFonts w:ascii="Verdana" w:hAnsi="Verdana" w:cs="Times New Roman"/>
          <w:sz w:val="20"/>
          <w:szCs w:val="20"/>
          <w:shd w:val="clear" w:color="auto" w:fill="FFFFFF"/>
        </w:rPr>
        <w:t>9</w:t>
      </w:r>
      <w:r w:rsidR="00F26BE5" w:rsidRPr="00F3220F">
        <w:rPr>
          <w:rFonts w:ascii="Verdana" w:hAnsi="Verdana" w:cs="Times New Roman"/>
          <w:sz w:val="20"/>
          <w:szCs w:val="20"/>
          <w:shd w:val="clear" w:color="auto" w:fill="FFFFFF"/>
        </w:rPr>
        <w:t>1</w:t>
      </w:r>
      <w:r w:rsidR="00AD25C6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 science course</w:t>
      </w:r>
      <w:r w:rsidR="0053609B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s </w:t>
      </w:r>
      <w:r w:rsidR="00441C78" w:rsidRPr="00F3220F">
        <w:rPr>
          <w:rFonts w:ascii="Verdana" w:hAnsi="Verdana" w:cs="Times New Roman"/>
          <w:sz w:val="20"/>
          <w:szCs w:val="20"/>
          <w:shd w:val="clear" w:color="auto" w:fill="FFFFFF"/>
        </w:rPr>
        <w:t>to meet this requirement</w:t>
      </w:r>
      <w:r w:rsidR="00AD25C6" w:rsidRPr="00F3220F">
        <w:rPr>
          <w:rFonts w:ascii="Verdana" w:hAnsi="Verdana" w:cs="Times New Roman"/>
          <w:sz w:val="20"/>
          <w:szCs w:val="20"/>
          <w:shd w:val="clear" w:color="auto" w:fill="FFFFFF"/>
        </w:rPr>
        <w:t>.</w:t>
      </w:r>
      <w:r w:rsidR="000B24D4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</w:p>
    <w:p w14:paraId="56A6A915" w14:textId="77777777" w:rsidR="00A744DB" w:rsidRPr="00F3220F" w:rsidRDefault="00A744DB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702EFE18" w14:textId="07B8507D" w:rsidR="00D84641" w:rsidRPr="00F3220F" w:rsidRDefault="00D84641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Communication </w:t>
      </w:r>
      <w:r w:rsidR="00115501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and </w:t>
      </w:r>
      <w:r w:rsidRPr="00F3220F">
        <w:rPr>
          <w:rFonts w:ascii="Verdana" w:hAnsi="Verdana" w:cs="Times New Roman"/>
          <w:sz w:val="20"/>
          <w:szCs w:val="20"/>
          <w:shd w:val="clear" w:color="auto" w:fill="FFFFFF"/>
        </w:rPr>
        <w:t>Composition</w:t>
      </w:r>
    </w:p>
    <w:p w14:paraId="185581A0" w14:textId="77777777" w:rsidR="00A744DB" w:rsidRPr="00F3220F" w:rsidRDefault="00A744DB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661EE99D" w14:textId="77777777" w:rsidR="00A744DB" w:rsidRPr="00F3220F" w:rsidRDefault="003D04B0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Despite </w:t>
      </w:r>
      <w:r w:rsidR="00F94150" w:rsidRPr="00F3220F">
        <w:rPr>
          <w:rFonts w:ascii="Verdana" w:hAnsi="Verdana" w:cs="Times New Roman"/>
          <w:sz w:val="20"/>
          <w:szCs w:val="20"/>
          <w:shd w:val="clear" w:color="auto" w:fill="FFFFFF"/>
        </w:rPr>
        <w:t>a</w:t>
      </w:r>
      <w:r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 potpourri of terms </w:t>
      </w:r>
      <w:r w:rsidR="005604EE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for this </w:t>
      </w:r>
      <w:r w:rsidR="00720537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subject </w:t>
      </w:r>
      <w:r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area, </w:t>
      </w:r>
      <w:r w:rsidR="00102001" w:rsidRPr="00BD25F3">
        <w:rPr>
          <w:rFonts w:ascii="Verdana" w:hAnsi="Verdana" w:cs="Times New Roman"/>
          <w:sz w:val="20"/>
          <w:szCs w:val="20"/>
          <w:shd w:val="clear" w:color="auto" w:fill="FFFFFF"/>
        </w:rPr>
        <w:t>Communication and Composition</w:t>
      </w:r>
      <w:r w:rsidR="003F3232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 had </w:t>
      </w:r>
      <w:r w:rsidR="00DD7811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the greatest </w:t>
      </w:r>
      <w:r w:rsidR="009938D1" w:rsidRPr="00F3220F">
        <w:rPr>
          <w:rFonts w:ascii="Verdana" w:hAnsi="Verdana" w:cs="Times New Roman"/>
          <w:sz w:val="20"/>
          <w:szCs w:val="20"/>
          <w:shd w:val="clear" w:color="auto" w:fill="FFFFFF"/>
        </w:rPr>
        <w:t>curricular consensus</w:t>
      </w:r>
      <w:r w:rsidR="00DD7811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205F62" w:rsidRPr="00F3220F">
        <w:rPr>
          <w:rFonts w:ascii="Verdana" w:hAnsi="Verdana" w:cs="Times New Roman"/>
          <w:sz w:val="20"/>
          <w:szCs w:val="20"/>
          <w:shd w:val="clear" w:color="auto" w:fill="FFFFFF"/>
        </w:rPr>
        <w:t>among colleges</w:t>
      </w:r>
      <w:r w:rsidR="003F3232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, and students were offered little choice in this area. </w:t>
      </w:r>
      <w:r w:rsidR="00441C78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Community </w:t>
      </w:r>
      <w:r w:rsidR="00D55231" w:rsidRPr="00F3220F">
        <w:rPr>
          <w:rFonts w:ascii="Verdana" w:hAnsi="Verdana" w:cs="Times New Roman"/>
          <w:sz w:val="20"/>
          <w:szCs w:val="20"/>
          <w:shd w:val="clear" w:color="auto" w:fill="FFFFFF"/>
        </w:rPr>
        <w:t>college</w:t>
      </w:r>
      <w:r w:rsidR="002315C7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s </w:t>
      </w:r>
      <w:r w:rsidR="00D55231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across the country </w:t>
      </w:r>
      <w:proofErr w:type="gramStart"/>
      <w:r w:rsidR="002315C7" w:rsidRPr="00F3220F">
        <w:rPr>
          <w:rFonts w:ascii="Verdana" w:hAnsi="Verdana" w:cs="Times New Roman"/>
          <w:sz w:val="20"/>
          <w:szCs w:val="20"/>
          <w:shd w:val="clear" w:color="auto" w:fill="FFFFFF"/>
        </w:rPr>
        <w:t>required</w:t>
      </w:r>
      <w:proofErr w:type="gramEnd"/>
      <w:r w:rsidR="00102001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 two or three courses to be completed from a list of three to seven courses</w:t>
      </w:r>
      <w:r w:rsidR="007F2301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441C78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for this subject </w:t>
      </w:r>
      <w:r w:rsidR="007F2301" w:rsidRPr="00F3220F">
        <w:rPr>
          <w:rFonts w:ascii="Verdana" w:hAnsi="Verdana" w:cs="Times New Roman"/>
          <w:sz w:val="20"/>
          <w:szCs w:val="20"/>
          <w:shd w:val="clear" w:color="auto" w:fill="FFFFFF"/>
        </w:rPr>
        <w:t>area</w:t>
      </w:r>
      <w:r w:rsidR="00102001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. </w:t>
      </w:r>
      <w:r w:rsidR="00B918EB" w:rsidRPr="00F3220F">
        <w:rPr>
          <w:rFonts w:ascii="Verdana" w:hAnsi="Verdana" w:cs="Times New Roman"/>
          <w:sz w:val="20"/>
          <w:szCs w:val="20"/>
          <w:shd w:val="clear" w:color="auto" w:fill="FFFFFF"/>
        </w:rPr>
        <w:t>More than half</w:t>
      </w:r>
      <w:r w:rsidR="00253982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12292A" w:rsidRPr="00F3220F">
        <w:rPr>
          <w:rFonts w:ascii="Verdana" w:hAnsi="Verdana" w:cs="Times New Roman"/>
          <w:sz w:val="20"/>
          <w:szCs w:val="20"/>
          <w:shd w:val="clear" w:color="auto" w:fill="FFFFFF"/>
        </w:rPr>
        <w:t>the colleges</w:t>
      </w:r>
      <w:r w:rsidR="00205F62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5B71B3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offered </w:t>
      </w:r>
      <w:r w:rsidR="00F94150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students </w:t>
      </w:r>
      <w:r w:rsidR="005B71B3" w:rsidRPr="00F3220F">
        <w:rPr>
          <w:rFonts w:ascii="Verdana" w:hAnsi="Verdana" w:cs="Times New Roman"/>
          <w:sz w:val="20"/>
          <w:szCs w:val="20"/>
          <w:shd w:val="clear" w:color="auto" w:fill="FFFFFF"/>
        </w:rPr>
        <w:t>no choice</w:t>
      </w:r>
      <w:r w:rsidR="002047A8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 of courses </w:t>
      </w:r>
      <w:r w:rsidR="005B71B3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and </w:t>
      </w:r>
      <w:r w:rsidR="007F2301" w:rsidRPr="00F3220F">
        <w:rPr>
          <w:rFonts w:ascii="Verdana" w:hAnsi="Verdana" w:cs="Times New Roman"/>
          <w:sz w:val="20"/>
          <w:szCs w:val="20"/>
          <w:shd w:val="clear" w:color="auto" w:fill="FFFFFF"/>
        </w:rPr>
        <w:t>required</w:t>
      </w:r>
      <w:r w:rsidR="00253982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7F2301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specific </w:t>
      </w:r>
      <w:r w:rsidR="006809AE" w:rsidRPr="00F3220F">
        <w:rPr>
          <w:rFonts w:ascii="Verdana" w:hAnsi="Verdana" w:cs="Times New Roman"/>
          <w:sz w:val="20"/>
          <w:szCs w:val="20"/>
          <w:shd w:val="clear" w:color="auto" w:fill="FFFFFF"/>
        </w:rPr>
        <w:t>English composition/rhetoric or speech</w:t>
      </w:r>
      <w:r w:rsidR="00253982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 courses.</w:t>
      </w:r>
    </w:p>
    <w:p w14:paraId="57851C57" w14:textId="235A9BFC" w:rsidR="001A0510" w:rsidRPr="00F3220F" w:rsidRDefault="00253982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</w:p>
    <w:p w14:paraId="2161112E" w14:textId="332C07E2" w:rsidR="00277793" w:rsidRPr="00F3220F" w:rsidRDefault="00F76DE2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Mathematics </w:t>
      </w:r>
    </w:p>
    <w:p w14:paraId="7D069A07" w14:textId="77777777" w:rsidR="00A744DB" w:rsidRPr="00F3220F" w:rsidRDefault="00A744DB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2E96B66A" w14:textId="05B145F8" w:rsidR="00AC471E" w:rsidRPr="00987394" w:rsidRDefault="001172E3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Consensus </w:t>
      </w:r>
      <w:r w:rsidR="003752CD" w:rsidRPr="00F3220F">
        <w:rPr>
          <w:rFonts w:ascii="Verdana" w:hAnsi="Verdana" w:cs="Times New Roman"/>
          <w:sz w:val="20"/>
          <w:szCs w:val="20"/>
          <w:shd w:val="clear" w:color="auto" w:fill="FFFFFF"/>
        </w:rPr>
        <w:t>was also evident</w:t>
      </w:r>
      <w:r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 around </w:t>
      </w:r>
      <w:r w:rsidR="00863B11" w:rsidRPr="00BD25F3">
        <w:rPr>
          <w:rFonts w:ascii="Verdana" w:hAnsi="Verdana" w:cs="Times New Roman"/>
          <w:sz w:val="20"/>
          <w:szCs w:val="20"/>
          <w:shd w:val="clear" w:color="auto" w:fill="FFFFFF"/>
        </w:rPr>
        <w:t>M</w:t>
      </w:r>
      <w:r w:rsidRPr="00BD25F3">
        <w:rPr>
          <w:rFonts w:ascii="Verdana" w:hAnsi="Verdana" w:cs="Times New Roman"/>
          <w:sz w:val="20"/>
          <w:szCs w:val="20"/>
          <w:shd w:val="clear" w:color="auto" w:fill="FFFFFF"/>
        </w:rPr>
        <w:t>athematics</w:t>
      </w:r>
      <w:r w:rsidR="00863B11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 requirements.</w:t>
      </w:r>
      <w:r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AC471E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All 30 colleges </w:t>
      </w:r>
      <w:r w:rsidR="003933A8" w:rsidRPr="00F3220F">
        <w:rPr>
          <w:rFonts w:ascii="Verdana" w:hAnsi="Verdana" w:cs="Times New Roman"/>
          <w:sz w:val="20"/>
          <w:szCs w:val="20"/>
          <w:shd w:val="clear" w:color="auto" w:fill="FFFFFF"/>
        </w:rPr>
        <w:t>listed</w:t>
      </w:r>
      <w:r w:rsidR="00AC471E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 one college-level </w:t>
      </w:r>
      <w:r w:rsidR="000C36DF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math </w:t>
      </w:r>
      <w:r w:rsidR="00AC471E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course </w:t>
      </w:r>
      <w:r w:rsidR="000C36DF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as a </w:t>
      </w:r>
      <w:r w:rsidR="00AC471E" w:rsidRPr="00F3220F">
        <w:rPr>
          <w:rFonts w:ascii="Verdana" w:hAnsi="Verdana" w:cs="Times New Roman"/>
          <w:sz w:val="20"/>
          <w:szCs w:val="20"/>
          <w:shd w:val="clear" w:color="auto" w:fill="FFFFFF"/>
        </w:rPr>
        <w:t>graduation requirement, to be completed from an average of</w:t>
      </w:r>
      <w:r w:rsidR="00AC471E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10 possible courses. </w:t>
      </w:r>
      <w:r w:rsidR="00E253B8" w:rsidRPr="00987394">
        <w:rPr>
          <w:rFonts w:ascii="Verdana" w:hAnsi="Verdana" w:cs="Times New Roman"/>
          <w:sz w:val="20"/>
          <w:szCs w:val="20"/>
          <w:shd w:val="clear" w:color="auto" w:fill="FFFFFF"/>
        </w:rPr>
        <w:t>In practice, m</w:t>
      </w:r>
      <w:r w:rsidR="00FA5EC5">
        <w:rPr>
          <w:rFonts w:ascii="Verdana" w:hAnsi="Verdana" w:cs="Times New Roman"/>
          <w:sz w:val="20"/>
          <w:szCs w:val="20"/>
          <w:shd w:val="clear" w:color="auto" w:fill="FFFFFF"/>
        </w:rPr>
        <w:t>any</w:t>
      </w:r>
      <w:r w:rsidR="00E253B8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students had only </w:t>
      </w:r>
      <w:r w:rsidR="000C36DF" w:rsidRPr="00987394">
        <w:rPr>
          <w:rFonts w:ascii="Verdana" w:hAnsi="Verdana" w:cs="Times New Roman"/>
          <w:sz w:val="20"/>
          <w:szCs w:val="20"/>
          <w:shd w:val="clear" w:color="auto" w:fill="FFFFFF"/>
        </w:rPr>
        <w:t>two or three</w:t>
      </w:r>
      <w:r w:rsidR="00E253B8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options</w:t>
      </w:r>
      <w:r w:rsidR="000C36DF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, since </w:t>
      </w:r>
      <w:r w:rsidR="00E253B8" w:rsidRPr="00987394">
        <w:rPr>
          <w:rFonts w:ascii="Verdana" w:hAnsi="Verdana" w:cs="Times New Roman"/>
          <w:sz w:val="20"/>
          <w:szCs w:val="20"/>
          <w:shd w:val="clear" w:color="auto" w:fill="FFFFFF"/>
        </w:rPr>
        <w:t>most</w:t>
      </w:r>
      <w:r w:rsidR="00AC471E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courses </w:t>
      </w:r>
      <w:r w:rsidR="000C36DF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on approved GE mathematics lists </w:t>
      </w:r>
      <w:r w:rsidR="00F8070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(e.g., Trigonometry, Calculus, Differential Equations) </w:t>
      </w:r>
      <w:r w:rsidR="00292640" w:rsidRPr="00987394">
        <w:rPr>
          <w:rFonts w:ascii="Verdana" w:hAnsi="Verdana" w:cs="Times New Roman"/>
          <w:sz w:val="20"/>
          <w:szCs w:val="20"/>
          <w:shd w:val="clear" w:color="auto" w:fill="FFFFFF"/>
        </w:rPr>
        <w:t>had</w:t>
      </w:r>
      <w:r w:rsidR="00D106BD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prerequisites</w:t>
      </w:r>
      <w:r w:rsidR="00AC471E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A27F9D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of </w:t>
      </w:r>
      <w:r w:rsidR="00D106BD" w:rsidRPr="00987394">
        <w:rPr>
          <w:rFonts w:ascii="Verdana" w:hAnsi="Verdana" w:cs="Times New Roman"/>
          <w:sz w:val="20"/>
          <w:szCs w:val="20"/>
          <w:shd w:val="clear" w:color="auto" w:fill="FFFFFF"/>
        </w:rPr>
        <w:t>other courses on the list</w:t>
      </w:r>
      <w:r w:rsidR="0029264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. </w:t>
      </w:r>
      <w:r w:rsidR="004771AC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Several </w:t>
      </w:r>
      <w:r w:rsidR="00AC471E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institutions </w:t>
      </w:r>
      <w:r w:rsidR="00292640" w:rsidRPr="00987394">
        <w:rPr>
          <w:rFonts w:ascii="Verdana" w:hAnsi="Verdana" w:cs="Times New Roman"/>
          <w:sz w:val="20"/>
          <w:szCs w:val="20"/>
          <w:shd w:val="clear" w:color="auto" w:fill="FFFFFF"/>
        </w:rPr>
        <w:t>simply</w:t>
      </w:r>
      <w:r w:rsidR="00AC471E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stated the requirement as completion of a </w:t>
      </w:r>
      <w:r w:rsidR="00F94150" w:rsidRPr="00987394">
        <w:rPr>
          <w:rFonts w:ascii="Verdana" w:hAnsi="Verdana" w:cs="Times New Roman"/>
          <w:sz w:val="20"/>
          <w:szCs w:val="20"/>
          <w:shd w:val="clear" w:color="auto" w:fill="FFFFFF"/>
        </w:rPr>
        <w:t>specific</w:t>
      </w:r>
      <w:r w:rsidR="00AC471E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college-level mathematics course or higher.</w:t>
      </w:r>
    </w:p>
    <w:p w14:paraId="7517D544" w14:textId="77777777" w:rsidR="00A744DB" w:rsidRPr="00987394" w:rsidRDefault="00A744DB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b/>
          <w:bCs/>
          <w:i/>
          <w:iCs/>
          <w:sz w:val="20"/>
          <w:szCs w:val="20"/>
          <w:shd w:val="clear" w:color="auto" w:fill="FFFFFF"/>
        </w:rPr>
      </w:pPr>
    </w:p>
    <w:p w14:paraId="5B8AFDD6" w14:textId="014FFFE0" w:rsidR="00F76DE2" w:rsidRPr="00150A87" w:rsidRDefault="00D933AE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150A87">
        <w:rPr>
          <w:rFonts w:ascii="Verdana" w:hAnsi="Verdana" w:cs="Times New Roman"/>
          <w:sz w:val="20"/>
          <w:szCs w:val="20"/>
          <w:shd w:val="clear" w:color="auto" w:fill="FFFFFF"/>
        </w:rPr>
        <w:t xml:space="preserve">Other </w:t>
      </w:r>
      <w:r w:rsidR="00AC471E" w:rsidRPr="00150A87">
        <w:rPr>
          <w:rFonts w:ascii="Verdana" w:hAnsi="Verdana" w:cs="Times New Roman"/>
          <w:sz w:val="20"/>
          <w:szCs w:val="20"/>
          <w:shd w:val="clear" w:color="auto" w:fill="FFFFFF"/>
        </w:rPr>
        <w:t xml:space="preserve">General Education </w:t>
      </w:r>
      <w:r w:rsidR="007E5A58" w:rsidRPr="00150A87">
        <w:rPr>
          <w:rFonts w:ascii="Verdana" w:hAnsi="Verdana" w:cs="Times New Roman"/>
          <w:sz w:val="20"/>
          <w:szCs w:val="20"/>
          <w:shd w:val="clear" w:color="auto" w:fill="FFFFFF"/>
        </w:rPr>
        <w:t>Categories and Requirements</w:t>
      </w:r>
      <w:r w:rsidR="00AC471E" w:rsidRPr="00150A87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</w:p>
    <w:p w14:paraId="6D420CA7" w14:textId="77777777" w:rsidR="00A744DB" w:rsidRPr="00987394" w:rsidRDefault="00A744DB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6DF516FC" w14:textId="5534FFB1" w:rsidR="004623AE" w:rsidRPr="00987394" w:rsidRDefault="00231931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>Most</w:t>
      </w:r>
      <w:r w:rsidR="00A24267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colleges in the study </w:t>
      </w:r>
      <w:r w:rsidR="000A010B" w:rsidRPr="00987394">
        <w:rPr>
          <w:rFonts w:ascii="Verdana" w:hAnsi="Verdana" w:cs="Times New Roman"/>
          <w:sz w:val="20"/>
          <w:szCs w:val="20"/>
          <w:shd w:val="clear" w:color="auto" w:fill="FFFFFF"/>
        </w:rPr>
        <w:t>had</w:t>
      </w:r>
      <w:r w:rsidR="00A24267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8169DA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one or two </w:t>
      </w:r>
      <w:r w:rsidR="00485C0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GE 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>r</w:t>
      </w:r>
      <w:r w:rsidR="00630569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equirements </w:t>
      </w:r>
      <w:r w:rsidR="00A21E4E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in </w:t>
      </w:r>
      <w:r w:rsidR="00687799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varying </w:t>
      </w:r>
      <w:r w:rsidR="00A21E4E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subject areas </w:t>
      </w:r>
      <w:r w:rsidR="007D3D3F" w:rsidRPr="00987394">
        <w:rPr>
          <w:rFonts w:ascii="Verdana" w:hAnsi="Verdana" w:cs="Times New Roman"/>
          <w:sz w:val="20"/>
          <w:szCs w:val="20"/>
          <w:shd w:val="clear" w:color="auto" w:fill="FFFFFF"/>
        </w:rPr>
        <w:t>outside</w:t>
      </w:r>
      <w:r w:rsidR="00136ED4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the five they all shared</w:t>
      </w:r>
      <w:r w:rsidR="00630569" w:rsidRPr="00987394">
        <w:rPr>
          <w:rFonts w:ascii="Verdana" w:hAnsi="Verdana" w:cs="Times New Roman"/>
          <w:sz w:val="20"/>
          <w:szCs w:val="20"/>
          <w:shd w:val="clear" w:color="auto" w:fill="FFFFFF"/>
        </w:rPr>
        <w:t>.</w:t>
      </w:r>
      <w:r w:rsidR="00EE188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1679E0" w:rsidRPr="00987394">
        <w:rPr>
          <w:rFonts w:ascii="Verdana" w:hAnsi="Verdana" w:cs="Times New Roman"/>
          <w:sz w:val="20"/>
          <w:szCs w:val="20"/>
          <w:shd w:val="clear" w:color="auto" w:fill="FFFFFF"/>
        </w:rPr>
        <w:t>Nine</w:t>
      </w:r>
      <w:r w:rsidR="00EE188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colleges specified a </w:t>
      </w:r>
      <w:r w:rsidR="00794FEE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separate </w:t>
      </w:r>
      <w:r w:rsidRPr="00BD25F3">
        <w:rPr>
          <w:rFonts w:ascii="Verdana" w:hAnsi="Verdana" w:cs="Times New Roman"/>
          <w:sz w:val="20"/>
          <w:szCs w:val="20"/>
          <w:shd w:val="clear" w:color="auto" w:fill="FFFFFF"/>
        </w:rPr>
        <w:t>History</w:t>
      </w:r>
      <w:r w:rsidR="00E47A4D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(</w:t>
      </w:r>
      <w:r w:rsidR="00F71C6F" w:rsidRPr="00987394">
        <w:rPr>
          <w:rFonts w:ascii="Verdana" w:hAnsi="Verdana" w:cs="Times New Roman"/>
          <w:sz w:val="20"/>
          <w:szCs w:val="20"/>
          <w:shd w:val="clear" w:color="auto" w:fill="FFFFFF"/>
        </w:rPr>
        <w:t>or</w:t>
      </w:r>
      <w:r w:rsidR="00E47A4D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230F6F" w:rsidRPr="00987394">
        <w:rPr>
          <w:rFonts w:ascii="Verdana" w:hAnsi="Verdana" w:cs="Times New Roman"/>
          <w:sz w:val="20"/>
          <w:szCs w:val="20"/>
          <w:shd w:val="clear" w:color="auto" w:fill="FFFFFF"/>
        </w:rPr>
        <w:t>some combination of h</w:t>
      </w:r>
      <w:r w:rsidR="00E47A4D" w:rsidRPr="00987394">
        <w:rPr>
          <w:rFonts w:ascii="Verdana" w:hAnsi="Verdana" w:cs="Times New Roman"/>
          <w:sz w:val="20"/>
          <w:szCs w:val="20"/>
          <w:shd w:val="clear" w:color="auto" w:fill="FFFFFF"/>
        </w:rPr>
        <w:t>istory/</w:t>
      </w:r>
      <w:r w:rsidR="00EE1880" w:rsidRPr="00987394">
        <w:rPr>
          <w:rFonts w:ascii="Verdana" w:hAnsi="Verdana" w:cs="Times New Roman"/>
          <w:sz w:val="20"/>
          <w:szCs w:val="20"/>
          <w:shd w:val="clear" w:color="auto" w:fill="FFFFFF"/>
        </w:rPr>
        <w:t>government/political science</w:t>
      </w:r>
      <w:r w:rsidR="00E47A4D" w:rsidRPr="00987394">
        <w:rPr>
          <w:rFonts w:ascii="Verdana" w:hAnsi="Verdana" w:cs="Times New Roman"/>
          <w:sz w:val="20"/>
          <w:szCs w:val="20"/>
          <w:shd w:val="clear" w:color="auto" w:fill="FFFFFF"/>
        </w:rPr>
        <w:t>)</w:t>
      </w:r>
      <w:r w:rsidR="00EE188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requirement</w:t>
      </w:r>
      <w:r w:rsidR="001679E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and called </w:t>
      </w:r>
      <w:r w:rsidR="00E47A4D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for one to two </w:t>
      </w:r>
      <w:r w:rsidR="00EE188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courses </w:t>
      </w:r>
      <w:r w:rsidR="003933A8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to be completed </w:t>
      </w:r>
      <w:r w:rsidR="00EE188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from </w:t>
      </w:r>
      <w:r w:rsidR="00E47A4D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four to eight </w:t>
      </w:r>
      <w:r w:rsidR="00AE7AFB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approved </w:t>
      </w:r>
      <w:r w:rsidR="0093070C" w:rsidRPr="00987394">
        <w:rPr>
          <w:rFonts w:ascii="Verdana" w:hAnsi="Verdana" w:cs="Times New Roman"/>
          <w:sz w:val="20"/>
          <w:szCs w:val="20"/>
          <w:shd w:val="clear" w:color="auto" w:fill="FFFFFF"/>
        </w:rPr>
        <w:t>options</w:t>
      </w:r>
      <w:r w:rsidR="001679E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in that category</w:t>
      </w:r>
      <w:r w:rsidR="00AE7AFB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. </w:t>
      </w:r>
      <w:r w:rsidR="006A2E1D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One institution </w:t>
      </w:r>
      <w:r w:rsidR="00F2575F" w:rsidRPr="00987394">
        <w:rPr>
          <w:rFonts w:ascii="Verdana" w:hAnsi="Verdana" w:cs="Times New Roman"/>
          <w:sz w:val="20"/>
          <w:szCs w:val="20"/>
          <w:shd w:val="clear" w:color="auto" w:fill="FFFFFF"/>
        </w:rPr>
        <w:t>asked for</w:t>
      </w:r>
      <w:r w:rsidR="006A2E1D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a course in Federal Government and one in Texas Government.</w:t>
      </w:r>
      <w:r w:rsidR="00FF04B8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AE7AFB" w:rsidRPr="00987394">
        <w:rPr>
          <w:rFonts w:ascii="Verdana" w:hAnsi="Verdana" w:cs="Times New Roman"/>
          <w:sz w:val="20"/>
          <w:szCs w:val="20"/>
          <w:shd w:val="clear" w:color="auto" w:fill="FFFFFF"/>
        </w:rPr>
        <w:t>One</w:t>
      </w:r>
      <w:r w:rsidR="000A010B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college named </w:t>
      </w:r>
      <w:r w:rsidR="00AE7AFB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this category </w:t>
      </w:r>
      <w:r w:rsidR="00AE7AFB" w:rsidRPr="00BD25F3">
        <w:rPr>
          <w:rFonts w:ascii="Verdana" w:hAnsi="Verdana" w:cs="Times New Roman"/>
          <w:sz w:val="20"/>
          <w:szCs w:val="20"/>
          <w:shd w:val="clear" w:color="auto" w:fill="FFFFFF"/>
        </w:rPr>
        <w:t>History-Cultures</w:t>
      </w:r>
      <w:r w:rsidR="00AE7AFB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and included </w:t>
      </w:r>
      <w:r w:rsidR="00E47A4D" w:rsidRPr="00987394">
        <w:rPr>
          <w:rFonts w:ascii="Verdana" w:hAnsi="Verdana" w:cs="Times New Roman"/>
          <w:sz w:val="20"/>
          <w:szCs w:val="20"/>
          <w:shd w:val="clear" w:color="auto" w:fill="FFFFFF"/>
        </w:rPr>
        <w:t>33 course</w:t>
      </w:r>
      <w:r w:rsidR="00F2575F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options</w:t>
      </w:r>
      <w:r w:rsidR="00E47A4D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in </w:t>
      </w:r>
      <w:r w:rsidR="00C86B99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history, </w:t>
      </w:r>
      <w:r w:rsidR="00AE7AFB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languages, culture, </w:t>
      </w:r>
      <w:r w:rsidR="00C86B99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and </w:t>
      </w:r>
      <w:r w:rsidR="00AE7AFB" w:rsidRPr="00987394">
        <w:rPr>
          <w:rFonts w:ascii="Verdana" w:hAnsi="Verdana" w:cs="Times New Roman"/>
          <w:sz w:val="20"/>
          <w:szCs w:val="20"/>
          <w:shd w:val="clear" w:color="auto" w:fill="FFFFFF"/>
        </w:rPr>
        <w:t>religion</w:t>
      </w:r>
      <w:r w:rsidR="00E47A4D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. </w:t>
      </w:r>
    </w:p>
    <w:p w14:paraId="747614EC" w14:textId="77777777" w:rsidR="00A744DB" w:rsidRPr="00987394" w:rsidRDefault="00A744DB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0BC205DE" w14:textId="1BC52055" w:rsidR="002168E2" w:rsidRPr="00987394" w:rsidRDefault="00092958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>The</w:t>
      </w:r>
      <w:r w:rsidR="00794FEE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second most common “other” category </w:t>
      </w:r>
      <w:r w:rsidR="00C86B99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was </w:t>
      </w:r>
      <w:r w:rsidR="005C23DA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a </w:t>
      </w:r>
      <w:r w:rsidR="00C86B99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grouping of humanities, social sciences, and specialized courses under headings variously dubbed </w:t>
      </w:r>
      <w:r w:rsidR="00C86B99" w:rsidRPr="00BD25F3">
        <w:rPr>
          <w:rFonts w:ascii="Verdana" w:hAnsi="Verdana" w:cs="Times New Roman"/>
          <w:sz w:val="20"/>
          <w:szCs w:val="20"/>
          <w:shd w:val="clear" w:color="auto" w:fill="FFFFFF"/>
        </w:rPr>
        <w:t>Global Perspectives</w:t>
      </w:r>
      <w:r w:rsidR="0051148F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; </w:t>
      </w:r>
      <w:r w:rsidR="00C86B99" w:rsidRPr="00BD25F3">
        <w:rPr>
          <w:rFonts w:ascii="Verdana" w:hAnsi="Verdana" w:cs="Times New Roman"/>
          <w:sz w:val="20"/>
          <w:szCs w:val="20"/>
          <w:shd w:val="clear" w:color="auto" w:fill="FFFFFF"/>
        </w:rPr>
        <w:t>Global Issues/</w:t>
      </w:r>
      <w:r w:rsidR="0051148F" w:rsidRPr="00BD25F3">
        <w:rPr>
          <w:rFonts w:ascii="Verdana" w:hAnsi="Verdana" w:cs="Times New Roman"/>
          <w:sz w:val="20"/>
          <w:szCs w:val="20"/>
          <w:shd w:val="clear" w:color="auto" w:fill="FFFFFF"/>
        </w:rPr>
        <w:t>Diversity</w:t>
      </w:r>
      <w:r w:rsidR="0051148F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; </w:t>
      </w:r>
      <w:r w:rsidR="0051148F" w:rsidRPr="00BD25F3">
        <w:rPr>
          <w:rFonts w:ascii="Verdana" w:hAnsi="Verdana" w:cs="Times New Roman"/>
          <w:sz w:val="20"/>
          <w:szCs w:val="20"/>
          <w:shd w:val="clear" w:color="auto" w:fill="FFFFFF"/>
        </w:rPr>
        <w:t>Culture, Diversity, and Equity</w:t>
      </w:r>
      <w:r w:rsidR="0051148F" w:rsidRPr="007E6E7E">
        <w:rPr>
          <w:rFonts w:ascii="Verdana" w:hAnsi="Verdana" w:cs="Times New Roman"/>
          <w:sz w:val="20"/>
          <w:szCs w:val="20"/>
          <w:shd w:val="clear" w:color="auto" w:fill="FFFFFF"/>
        </w:rPr>
        <w:t>;</w:t>
      </w:r>
      <w:r w:rsidR="005C23DA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5C23DA" w:rsidRPr="00BD25F3">
        <w:rPr>
          <w:rFonts w:ascii="Verdana" w:hAnsi="Verdana" w:cs="Times New Roman"/>
          <w:sz w:val="20"/>
          <w:szCs w:val="20"/>
          <w:shd w:val="clear" w:color="auto" w:fill="FFFFFF"/>
        </w:rPr>
        <w:t>Multicultural Education</w:t>
      </w:r>
      <w:r w:rsidR="005C23DA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; </w:t>
      </w:r>
      <w:r w:rsidR="0051148F" w:rsidRPr="00BD25F3">
        <w:rPr>
          <w:rFonts w:ascii="Verdana" w:hAnsi="Verdana" w:cs="Times New Roman"/>
          <w:sz w:val="20"/>
          <w:szCs w:val="20"/>
          <w:shd w:val="clear" w:color="auto" w:fill="FFFFFF"/>
        </w:rPr>
        <w:t>Diversity</w:t>
      </w:r>
      <w:r w:rsidR="0051148F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; or </w:t>
      </w:r>
      <w:r w:rsidR="0051148F" w:rsidRPr="00BD25F3">
        <w:rPr>
          <w:rFonts w:ascii="Verdana" w:hAnsi="Verdana" w:cs="Times New Roman"/>
          <w:sz w:val="20"/>
          <w:szCs w:val="20"/>
          <w:shd w:val="clear" w:color="auto" w:fill="FFFFFF"/>
        </w:rPr>
        <w:t>Human Relations</w:t>
      </w:r>
      <w:r w:rsidR="0051148F"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>.</w:t>
      </w:r>
      <w:r w:rsidR="0051148F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5C23DA" w:rsidRPr="00987394">
        <w:rPr>
          <w:rFonts w:ascii="Verdana" w:hAnsi="Verdana" w:cs="Times New Roman"/>
          <w:sz w:val="20"/>
          <w:szCs w:val="20"/>
          <w:shd w:val="clear" w:color="auto" w:fill="FFFFFF"/>
        </w:rPr>
        <w:t>The</w:t>
      </w:r>
      <w:r w:rsidR="00F7256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disciplines </w:t>
      </w:r>
      <w:r w:rsidR="002D7D27" w:rsidRPr="00987394">
        <w:rPr>
          <w:rFonts w:ascii="Verdana" w:hAnsi="Verdana" w:cs="Times New Roman"/>
          <w:sz w:val="20"/>
          <w:szCs w:val="20"/>
          <w:shd w:val="clear" w:color="auto" w:fill="FFFFFF"/>
        </w:rPr>
        <w:t>included in</w:t>
      </w:r>
      <w:r w:rsidR="00F7256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these groupings </w:t>
      </w:r>
      <w:r w:rsidR="0051148F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varied, but all </w:t>
      </w:r>
      <w:r w:rsidR="005C23DA" w:rsidRPr="00987394">
        <w:rPr>
          <w:rFonts w:ascii="Verdana" w:hAnsi="Verdana" w:cs="Times New Roman"/>
          <w:sz w:val="20"/>
          <w:szCs w:val="20"/>
          <w:shd w:val="clear" w:color="auto" w:fill="FFFFFF"/>
        </w:rPr>
        <w:t>six</w:t>
      </w:r>
      <w:r w:rsidR="0051148F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colleges with </w:t>
      </w:r>
      <w:r w:rsidR="002D7D27" w:rsidRPr="00987394">
        <w:rPr>
          <w:rFonts w:ascii="Verdana" w:hAnsi="Verdana" w:cs="Times New Roman"/>
          <w:sz w:val="20"/>
          <w:szCs w:val="20"/>
          <w:shd w:val="clear" w:color="auto" w:fill="FFFFFF"/>
        </w:rPr>
        <w:t>this</w:t>
      </w:r>
      <w:r w:rsidR="0093070C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5C23DA" w:rsidRPr="00987394">
        <w:rPr>
          <w:rFonts w:ascii="Verdana" w:hAnsi="Verdana" w:cs="Times New Roman"/>
          <w:sz w:val="20"/>
          <w:szCs w:val="20"/>
          <w:shd w:val="clear" w:color="auto" w:fill="FFFFFF"/>
        </w:rPr>
        <w:t>requirement</w:t>
      </w:r>
      <w:r w:rsidR="0051148F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called for </w:t>
      </w:r>
      <w:r w:rsidR="005C23DA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one course from a list of </w:t>
      </w:r>
      <w:r w:rsidR="006A2E1D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21 to 86 </w:t>
      </w:r>
      <w:r w:rsidR="0093070C" w:rsidRPr="00987394">
        <w:rPr>
          <w:rFonts w:ascii="Verdana" w:hAnsi="Verdana" w:cs="Times New Roman"/>
          <w:sz w:val="20"/>
          <w:szCs w:val="20"/>
          <w:shd w:val="clear" w:color="auto" w:fill="FFFFFF"/>
        </w:rPr>
        <w:t>designated</w:t>
      </w:r>
      <w:r w:rsidR="006A2E1D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courses. </w:t>
      </w:r>
      <w:r w:rsidR="005F2C83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Three others </w:t>
      </w:r>
      <w:r w:rsidR="002D7D27" w:rsidRPr="00987394">
        <w:rPr>
          <w:rFonts w:ascii="Verdana" w:hAnsi="Verdana" w:cs="Times New Roman"/>
          <w:sz w:val="20"/>
          <w:szCs w:val="20"/>
          <w:shd w:val="clear" w:color="auto" w:fill="FFFFFF"/>
        </w:rPr>
        <w:t>had</w:t>
      </w:r>
      <w:r w:rsidR="005F2C83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a </w:t>
      </w:r>
      <w:r w:rsidR="002D7D27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GE </w:t>
      </w:r>
      <w:r w:rsidR="005F2C83" w:rsidRPr="00BD25F3">
        <w:rPr>
          <w:rFonts w:ascii="Verdana" w:hAnsi="Verdana" w:cs="Times New Roman"/>
          <w:sz w:val="20"/>
          <w:szCs w:val="20"/>
          <w:shd w:val="clear" w:color="auto" w:fill="FFFFFF"/>
        </w:rPr>
        <w:t>Diversity</w:t>
      </w:r>
      <w:r w:rsidR="005F2C83" w:rsidRPr="00F3220F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D0138D" w:rsidRPr="00987394">
        <w:rPr>
          <w:rFonts w:ascii="Verdana" w:hAnsi="Verdana" w:cs="Times New Roman"/>
          <w:sz w:val="20"/>
          <w:szCs w:val="20"/>
          <w:shd w:val="clear" w:color="auto" w:fill="FFFFFF"/>
        </w:rPr>
        <w:t>requirement but</w:t>
      </w:r>
      <w:r w:rsidR="005F2C83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D0138D" w:rsidRPr="00987394">
        <w:rPr>
          <w:rFonts w:ascii="Verdana" w:hAnsi="Verdana" w:cs="Times New Roman"/>
          <w:sz w:val="20"/>
          <w:szCs w:val="20"/>
          <w:shd w:val="clear" w:color="auto" w:fill="FFFFFF"/>
        </w:rPr>
        <w:t>cross-referenced</w:t>
      </w:r>
      <w:r w:rsidR="005F2C83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D0138D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the </w:t>
      </w:r>
      <w:r w:rsidR="00F72562" w:rsidRPr="00987394">
        <w:rPr>
          <w:rFonts w:ascii="Verdana" w:hAnsi="Verdana" w:cs="Times New Roman"/>
          <w:sz w:val="20"/>
          <w:szCs w:val="20"/>
          <w:shd w:val="clear" w:color="auto" w:fill="FFFFFF"/>
        </w:rPr>
        <w:t>approved</w:t>
      </w:r>
      <w:r w:rsidR="00D0138D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courses for this </w:t>
      </w:r>
      <w:r w:rsidR="00084015" w:rsidRPr="00987394">
        <w:rPr>
          <w:rFonts w:ascii="Verdana" w:hAnsi="Verdana" w:cs="Times New Roman"/>
          <w:sz w:val="20"/>
          <w:szCs w:val="20"/>
          <w:shd w:val="clear" w:color="auto" w:fill="FFFFFF"/>
        </w:rPr>
        <w:t>area</w:t>
      </w:r>
      <w:r w:rsidR="00D0138D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with</w:t>
      </w:r>
      <w:r w:rsidR="005F2C83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other GE course listings, allowing for double counting across categories. </w:t>
      </w:r>
    </w:p>
    <w:p w14:paraId="6175A1B1" w14:textId="77777777" w:rsidR="00A744DB" w:rsidRPr="00987394" w:rsidRDefault="00A744DB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4D7698A3" w14:textId="29C5B56B" w:rsidR="00A744DB" w:rsidRPr="00987394" w:rsidRDefault="00F51F5A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Four colleges </w:t>
      </w:r>
      <w:r w:rsidR="00E17C06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required a </w:t>
      </w:r>
      <w:r w:rsidR="00E17C06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course in </w:t>
      </w:r>
      <w:r w:rsidR="009B4B21" w:rsidRPr="00BD25F3">
        <w:rPr>
          <w:rFonts w:ascii="Verdana" w:hAnsi="Verdana" w:cs="Times New Roman"/>
          <w:sz w:val="20"/>
          <w:szCs w:val="20"/>
          <w:shd w:val="clear" w:color="auto" w:fill="FFFFFF"/>
        </w:rPr>
        <w:t>Physical Education/Dan</w:t>
      </w:r>
      <w:r w:rsidR="009B4B21" w:rsidRPr="007E6E7E">
        <w:rPr>
          <w:rFonts w:ascii="Verdana" w:hAnsi="Verdana" w:cs="Times New Roman"/>
          <w:sz w:val="20"/>
          <w:szCs w:val="20"/>
          <w:shd w:val="clear" w:color="auto" w:fill="FFFFFF"/>
        </w:rPr>
        <w:t>ce</w:t>
      </w:r>
      <w:r w:rsidR="004E54E8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="009B4B21" w:rsidRPr="00BD25F3">
        <w:rPr>
          <w:rFonts w:ascii="Verdana" w:hAnsi="Verdana" w:cs="Times New Roman"/>
          <w:sz w:val="20"/>
          <w:szCs w:val="20"/>
          <w:shd w:val="clear" w:color="auto" w:fill="FFFFFF"/>
        </w:rPr>
        <w:t>Health and Physical Education</w:t>
      </w:r>
      <w:r w:rsidR="00E17C06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="00E17C06" w:rsidRPr="00BD25F3">
        <w:rPr>
          <w:rFonts w:ascii="Verdana" w:hAnsi="Verdana" w:cs="Times New Roman"/>
          <w:sz w:val="20"/>
          <w:szCs w:val="20"/>
          <w:shd w:val="clear" w:color="auto" w:fill="FFFFFF"/>
        </w:rPr>
        <w:t>Exercise Science</w:t>
      </w:r>
      <w:r w:rsidR="00E17C06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, or </w:t>
      </w:r>
      <w:r w:rsidR="00E17C06" w:rsidRPr="00BD25F3">
        <w:rPr>
          <w:rFonts w:ascii="Verdana" w:hAnsi="Verdana" w:cs="Times New Roman"/>
          <w:sz w:val="20"/>
          <w:szCs w:val="20"/>
          <w:shd w:val="clear" w:color="auto" w:fill="FFFFFF"/>
        </w:rPr>
        <w:t>Wellness</w:t>
      </w:r>
      <w:r w:rsidR="00E17C06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from lists of 34, 21, 45 and </w:t>
      </w:r>
      <w:r w:rsidR="00CC020D">
        <w:rPr>
          <w:rFonts w:ascii="Verdana" w:hAnsi="Verdana" w:cs="Times New Roman"/>
          <w:sz w:val="20"/>
          <w:szCs w:val="20"/>
          <w:shd w:val="clear" w:color="auto" w:fill="FFFFFF"/>
        </w:rPr>
        <w:t>seven</w:t>
      </w:r>
      <w:r w:rsidR="00E17C06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options, respectively. </w:t>
      </w:r>
      <w:r w:rsidR="005C4CA7" w:rsidRPr="00987394">
        <w:rPr>
          <w:rFonts w:ascii="Verdana" w:hAnsi="Verdana" w:cs="Times New Roman"/>
          <w:sz w:val="20"/>
          <w:szCs w:val="20"/>
          <w:shd w:val="clear" w:color="auto" w:fill="FFFFFF"/>
        </w:rPr>
        <w:t>Four</w:t>
      </w:r>
      <w:r w:rsidR="004E54E8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called for </w:t>
      </w:r>
      <w:r w:rsidR="0093070C" w:rsidRPr="00987394">
        <w:rPr>
          <w:rFonts w:ascii="Verdana" w:hAnsi="Verdana" w:cs="Times New Roman"/>
          <w:sz w:val="20"/>
          <w:szCs w:val="20"/>
          <w:shd w:val="clear" w:color="auto" w:fill="FFFFFF"/>
        </w:rPr>
        <w:t>a</w:t>
      </w:r>
      <w:r w:rsidR="004E54E8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5C4CA7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specific </w:t>
      </w:r>
      <w:r w:rsidR="004E54E8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student success course, </w:t>
      </w:r>
      <w:r w:rsidR="005C4CA7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variously named </w:t>
      </w:r>
      <w:r w:rsidR="005C4CA7" w:rsidRPr="00BD25F3">
        <w:rPr>
          <w:rFonts w:ascii="Verdana" w:hAnsi="Verdana" w:cs="Times New Roman"/>
          <w:sz w:val="20"/>
          <w:szCs w:val="20"/>
          <w:shd w:val="clear" w:color="auto" w:fill="FFFFFF"/>
        </w:rPr>
        <w:t>Student Success,</w:t>
      </w:r>
      <w:r w:rsidR="005C4CA7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4E54E8" w:rsidRPr="00BD25F3">
        <w:rPr>
          <w:rFonts w:ascii="Verdana" w:hAnsi="Verdana" w:cs="Times New Roman"/>
          <w:sz w:val="20"/>
          <w:szCs w:val="20"/>
          <w:shd w:val="clear" w:color="auto" w:fill="FFFFFF"/>
        </w:rPr>
        <w:t>College Transfer Success</w:t>
      </w:r>
      <w:r w:rsidR="004E54E8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="005C4CA7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or </w:t>
      </w:r>
      <w:r w:rsidR="004E54E8" w:rsidRPr="00BD25F3">
        <w:rPr>
          <w:rFonts w:ascii="Verdana" w:hAnsi="Verdana" w:cs="Times New Roman"/>
          <w:sz w:val="20"/>
          <w:szCs w:val="20"/>
          <w:shd w:val="clear" w:color="auto" w:fill="FFFFFF"/>
        </w:rPr>
        <w:t>First</w:t>
      </w:r>
      <w:r w:rsidR="007E6E7E">
        <w:rPr>
          <w:rFonts w:ascii="Verdana" w:hAnsi="Verdana" w:cs="Times New Roman"/>
          <w:sz w:val="20"/>
          <w:szCs w:val="20"/>
          <w:shd w:val="clear" w:color="auto" w:fill="FFFFFF"/>
        </w:rPr>
        <w:t>-</w:t>
      </w:r>
      <w:r w:rsidR="004E54E8" w:rsidRPr="00BD25F3">
        <w:rPr>
          <w:rFonts w:ascii="Verdana" w:hAnsi="Verdana" w:cs="Times New Roman"/>
          <w:sz w:val="20"/>
          <w:szCs w:val="20"/>
          <w:shd w:val="clear" w:color="auto" w:fill="FFFFFF"/>
        </w:rPr>
        <w:t>Year Experience</w:t>
      </w:r>
      <w:r w:rsidR="005C4CA7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. </w:t>
      </w:r>
      <w:r w:rsidRPr="007E6E7E">
        <w:rPr>
          <w:rFonts w:ascii="Verdana" w:hAnsi="Verdana" w:cs="Times New Roman"/>
          <w:sz w:val="20"/>
          <w:szCs w:val="20"/>
          <w:shd w:val="clear" w:color="auto" w:fill="FFFFFF"/>
        </w:rPr>
        <w:t>Three colleges specified a GE category for technology skills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>—</w:t>
      </w:r>
      <w:r w:rsidRPr="00BD25F3">
        <w:rPr>
          <w:rFonts w:ascii="Verdana" w:hAnsi="Verdana" w:cs="Times New Roman"/>
          <w:sz w:val="20"/>
          <w:szCs w:val="20"/>
          <w:shd w:val="clear" w:color="auto" w:fill="FFFFFF"/>
        </w:rPr>
        <w:t>Technology</w:t>
      </w:r>
      <w:r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Pr="00BD25F3">
        <w:rPr>
          <w:rFonts w:ascii="Verdana" w:hAnsi="Verdana" w:cs="Times New Roman"/>
          <w:sz w:val="20"/>
          <w:szCs w:val="20"/>
          <w:shd w:val="clear" w:color="auto" w:fill="FFFFFF"/>
        </w:rPr>
        <w:t xml:space="preserve">Computer Skills, </w:t>
      </w:r>
      <w:r w:rsidRPr="007E6E7E">
        <w:rPr>
          <w:rFonts w:ascii="Verdana" w:hAnsi="Verdana" w:cs="Times New Roman"/>
          <w:sz w:val="20"/>
          <w:szCs w:val="20"/>
          <w:shd w:val="clear" w:color="auto" w:fill="FFFFFF"/>
        </w:rPr>
        <w:t>C</w:t>
      </w:r>
      <w:r w:rsidRPr="00BD25F3">
        <w:rPr>
          <w:rFonts w:ascii="Verdana" w:hAnsi="Verdana" w:cs="Times New Roman"/>
          <w:sz w:val="20"/>
          <w:szCs w:val="20"/>
          <w:shd w:val="clear" w:color="auto" w:fill="FFFFFF"/>
        </w:rPr>
        <w:t>omputer/Statistics/Quantitative Applications</w:t>
      </w:r>
      <w:r w:rsidR="00804DBA"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>—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>and required one course from a list of two to 11.</w:t>
      </w:r>
      <w:r w:rsidR="000B24D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EC0B55" w:rsidRPr="00987394">
        <w:rPr>
          <w:rFonts w:ascii="Verdana" w:hAnsi="Verdana" w:cs="Times New Roman"/>
          <w:sz w:val="20"/>
          <w:szCs w:val="20"/>
          <w:shd w:val="clear" w:color="auto" w:fill="FFFFFF"/>
        </w:rPr>
        <w:t>One</w:t>
      </w:r>
      <w:r w:rsidR="00501269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medium-sized college required </w:t>
      </w:r>
      <w:r w:rsidR="00084015" w:rsidRPr="00987394">
        <w:rPr>
          <w:rFonts w:ascii="Verdana" w:hAnsi="Verdana" w:cs="Times New Roman"/>
          <w:sz w:val="20"/>
          <w:szCs w:val="20"/>
          <w:shd w:val="clear" w:color="auto" w:fill="FFFFFF"/>
        </w:rPr>
        <w:t>a single</w:t>
      </w:r>
      <w:r w:rsidR="00D0138D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cour</w:t>
      </w:r>
      <w:r w:rsidR="00AB534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se from </w:t>
      </w:r>
      <w:r w:rsidR="00EC0B55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a list of </w:t>
      </w:r>
      <w:r w:rsidR="00AB534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31 </w:t>
      </w:r>
      <w:r w:rsidR="00EC0B55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to fulfill </w:t>
      </w:r>
      <w:r w:rsidR="00AB5342" w:rsidRPr="00BD25F3">
        <w:rPr>
          <w:rFonts w:ascii="Verdana" w:hAnsi="Verdana" w:cs="Times New Roman"/>
          <w:sz w:val="20"/>
          <w:szCs w:val="20"/>
          <w:shd w:val="clear" w:color="auto" w:fill="FFFFFF"/>
        </w:rPr>
        <w:t>Lifelong Learning</w:t>
      </w:r>
      <w:r w:rsidR="00501269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. </w:t>
      </w:r>
      <w:r w:rsidR="00EC0B55" w:rsidRPr="00987394">
        <w:rPr>
          <w:rFonts w:ascii="Verdana" w:hAnsi="Verdana" w:cs="Times New Roman"/>
          <w:sz w:val="20"/>
          <w:szCs w:val="20"/>
          <w:shd w:val="clear" w:color="auto" w:fill="FFFFFF"/>
        </w:rPr>
        <w:t>One</w:t>
      </w:r>
      <w:r w:rsidR="00501269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small college called for </w:t>
      </w:r>
      <w:r w:rsidR="00132E9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one course in </w:t>
      </w:r>
      <w:r w:rsidR="00501269" w:rsidRPr="00BD25F3">
        <w:rPr>
          <w:rFonts w:ascii="Verdana" w:hAnsi="Verdana" w:cs="Times New Roman"/>
          <w:sz w:val="20"/>
          <w:szCs w:val="20"/>
          <w:shd w:val="clear" w:color="auto" w:fill="FFFFFF"/>
        </w:rPr>
        <w:t>Ethical Reasoning</w:t>
      </w:r>
      <w:r w:rsidR="00501269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from a list of seven</w:t>
      </w:r>
      <w:r w:rsidR="00132E90" w:rsidRPr="00987394">
        <w:rPr>
          <w:rFonts w:ascii="Verdana" w:hAnsi="Verdana" w:cs="Times New Roman"/>
          <w:sz w:val="20"/>
          <w:szCs w:val="20"/>
          <w:shd w:val="clear" w:color="auto" w:fill="FFFFFF"/>
        </w:rPr>
        <w:t>.</w:t>
      </w:r>
    </w:p>
    <w:p w14:paraId="08E5563A" w14:textId="78C8E142" w:rsidR="00F90009" w:rsidRPr="00987394" w:rsidRDefault="00501269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</w:p>
    <w:p w14:paraId="1570F686" w14:textId="18A50B23" w:rsidR="00E168E6" w:rsidRPr="00987394" w:rsidRDefault="00E168E6" w:rsidP="00150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</w:pPr>
      <w:r w:rsidRPr="00987394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>Summary of Findings</w:t>
      </w:r>
    </w:p>
    <w:p w14:paraId="7E9F0445" w14:textId="77777777" w:rsidR="00A744DB" w:rsidRPr="00987394" w:rsidRDefault="00A744DB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4575CAF2" w14:textId="48F1C853" w:rsidR="00071E76" w:rsidRPr="00987394" w:rsidRDefault="00413729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lastRenderedPageBreak/>
        <w:t>A</w:t>
      </w:r>
      <w:r w:rsidR="00F90009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cross all 30 colleges in </w:t>
      </w:r>
      <w:r w:rsidR="008169DA" w:rsidRPr="00987394">
        <w:rPr>
          <w:rFonts w:ascii="Verdana" w:hAnsi="Verdana" w:cs="Times New Roman"/>
          <w:sz w:val="20"/>
          <w:szCs w:val="20"/>
          <w:shd w:val="clear" w:color="auto" w:fill="FFFFFF"/>
        </w:rPr>
        <w:t>this</w:t>
      </w:r>
      <w:r w:rsidR="00F90009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study, we found strong </w:t>
      </w:r>
      <w:r w:rsidR="00373E15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agreement </w:t>
      </w:r>
      <w:r w:rsidR="00F90009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in the </w:t>
      </w:r>
      <w:r w:rsidR="004E28AF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major </w:t>
      </w:r>
      <w:r w:rsidR="00F90009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disciplinary categories </w:t>
      </w:r>
      <w:r w:rsidR="00234E16" w:rsidRPr="00987394">
        <w:rPr>
          <w:rFonts w:ascii="Verdana" w:hAnsi="Verdana" w:cs="Times New Roman"/>
          <w:sz w:val="20"/>
          <w:szCs w:val="20"/>
          <w:shd w:val="clear" w:color="auto" w:fill="FFFFFF"/>
        </w:rPr>
        <w:t>comprising</w:t>
      </w:r>
      <w:r w:rsidR="007B550B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their</w:t>
      </w:r>
      <w:r w:rsidR="00F90009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GE </w:t>
      </w:r>
      <w:r w:rsidR="00962FB1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programs. </w:t>
      </w:r>
      <w:r w:rsidR="003D6932" w:rsidRPr="00987394">
        <w:rPr>
          <w:rFonts w:ascii="Verdana" w:hAnsi="Verdana" w:cs="Times New Roman"/>
          <w:sz w:val="20"/>
          <w:szCs w:val="20"/>
          <w:shd w:val="clear" w:color="auto" w:fill="FFFFFF"/>
        </w:rPr>
        <w:t>Most</w:t>
      </w:r>
      <w:r w:rsidR="00A5444C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373E15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community </w:t>
      </w:r>
      <w:r w:rsidR="00A5444C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colleges </w:t>
      </w:r>
      <w:r w:rsidR="008A3AA1" w:rsidRPr="00987394">
        <w:rPr>
          <w:rFonts w:ascii="Verdana" w:hAnsi="Verdana" w:cs="Times New Roman"/>
          <w:sz w:val="20"/>
          <w:szCs w:val="20"/>
          <w:shd w:val="clear" w:color="auto" w:fill="FFFFFF"/>
        </w:rPr>
        <w:t>required</w:t>
      </w:r>
      <w:r w:rsidR="003202E7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students to complete 12 GE courses</w:t>
      </w:r>
      <w:r w:rsidR="00855B8B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: </w:t>
      </w:r>
      <w:r w:rsidR="003202E7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three in </w:t>
      </w:r>
      <w:r w:rsidR="003202E7" w:rsidRPr="007E6E7E">
        <w:rPr>
          <w:rFonts w:ascii="Verdana" w:hAnsi="Verdana" w:cs="Times New Roman"/>
          <w:sz w:val="20"/>
          <w:szCs w:val="20"/>
          <w:shd w:val="clear" w:color="auto" w:fill="FFFFFF"/>
        </w:rPr>
        <w:t>Ar</w:t>
      </w:r>
      <w:r w:rsidR="003202E7" w:rsidRPr="00BD25F3">
        <w:rPr>
          <w:rFonts w:ascii="Verdana" w:hAnsi="Verdana" w:cs="Times New Roman"/>
          <w:sz w:val="20"/>
          <w:szCs w:val="20"/>
          <w:shd w:val="clear" w:color="auto" w:fill="FFFFFF"/>
        </w:rPr>
        <w:t>ts and Humanities</w:t>
      </w:r>
      <w:r w:rsidR="003202E7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, two in </w:t>
      </w:r>
      <w:r w:rsidR="003202E7" w:rsidRPr="00BD25F3">
        <w:rPr>
          <w:rFonts w:ascii="Verdana" w:hAnsi="Verdana" w:cs="Times New Roman"/>
          <w:sz w:val="20"/>
          <w:szCs w:val="20"/>
          <w:shd w:val="clear" w:color="auto" w:fill="FFFFFF"/>
        </w:rPr>
        <w:t>Social and Behavioral Sciences</w:t>
      </w:r>
      <w:r w:rsidR="003202E7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two in </w:t>
      </w:r>
      <w:r w:rsidRPr="00BD25F3">
        <w:rPr>
          <w:rFonts w:ascii="Verdana" w:hAnsi="Verdana" w:cs="Times New Roman"/>
          <w:sz w:val="20"/>
          <w:szCs w:val="20"/>
          <w:shd w:val="clear" w:color="auto" w:fill="FFFFFF"/>
        </w:rPr>
        <w:t>Natural Sciences</w:t>
      </w:r>
      <w:r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, three in </w:t>
      </w:r>
      <w:r w:rsidRPr="00BD25F3">
        <w:rPr>
          <w:rFonts w:ascii="Verdana" w:hAnsi="Verdana" w:cs="Times New Roman"/>
          <w:sz w:val="20"/>
          <w:szCs w:val="20"/>
          <w:shd w:val="clear" w:color="auto" w:fill="FFFFFF"/>
        </w:rPr>
        <w:t>Communication and Composition</w:t>
      </w:r>
      <w:r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, one in </w:t>
      </w:r>
      <w:r w:rsidRPr="00BD25F3">
        <w:rPr>
          <w:rFonts w:ascii="Verdana" w:hAnsi="Verdana" w:cs="Times New Roman"/>
          <w:sz w:val="20"/>
          <w:szCs w:val="20"/>
          <w:shd w:val="clear" w:color="auto" w:fill="FFFFFF"/>
        </w:rPr>
        <w:t>Mathematics</w:t>
      </w:r>
      <w:r w:rsidR="00373E15" w:rsidRPr="007E6E7E">
        <w:rPr>
          <w:rFonts w:ascii="Verdana" w:hAnsi="Verdana" w:cs="Times New Roman"/>
          <w:sz w:val="20"/>
          <w:szCs w:val="20"/>
          <w:shd w:val="clear" w:color="auto" w:fill="FFFFFF"/>
        </w:rPr>
        <w:t>,</w:t>
      </w:r>
      <w:r w:rsidR="00373E15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and </w:t>
      </w:r>
      <w:r w:rsidR="00BE7B31" w:rsidRPr="00987394">
        <w:rPr>
          <w:rFonts w:ascii="Verdana" w:hAnsi="Verdana" w:cs="Times New Roman"/>
          <w:sz w:val="20"/>
          <w:szCs w:val="20"/>
          <w:shd w:val="clear" w:color="auto" w:fill="FFFFFF"/>
        </w:rPr>
        <w:t>one</w:t>
      </w:r>
      <w:r w:rsidR="00855B8B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in an additional area</w:t>
      </w:r>
      <w:r w:rsidR="00373E15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(e.g., </w:t>
      </w:r>
      <w:r w:rsidR="00855B8B" w:rsidRPr="00987394">
        <w:rPr>
          <w:rFonts w:ascii="Verdana" w:hAnsi="Verdana" w:cs="Times New Roman"/>
          <w:sz w:val="20"/>
          <w:szCs w:val="20"/>
          <w:shd w:val="clear" w:color="auto" w:fill="FFFFFF"/>
        </w:rPr>
        <w:t>History, Diversity, Physical Education, Student Success, Technology, Lifelong Learning</w:t>
      </w:r>
      <w:r w:rsidR="00373E15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). </w:t>
      </w:r>
    </w:p>
    <w:p w14:paraId="7D7296C6" w14:textId="77777777" w:rsidR="00A744DB" w:rsidRPr="00987394" w:rsidRDefault="00A744DB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09859199" w14:textId="4E20C49B" w:rsidR="00D46E10" w:rsidRPr="00987394" w:rsidRDefault="00116B34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79432F">
        <w:rPr>
          <w:rFonts w:ascii="Verdana" w:hAnsi="Verdana" w:cs="Times New Roman"/>
          <w:sz w:val="20"/>
          <w:szCs w:val="20"/>
          <w:shd w:val="clear" w:color="auto" w:fill="FFFFFF"/>
        </w:rPr>
        <w:t xml:space="preserve">The greatest differences we found were in the array of approved GE course offerings—the number and variety of courses </w:t>
      </w:r>
      <w:r w:rsidR="008B5E4D">
        <w:rPr>
          <w:rFonts w:ascii="Verdana" w:hAnsi="Verdana" w:cs="Times New Roman"/>
          <w:sz w:val="20"/>
          <w:szCs w:val="20"/>
          <w:shd w:val="clear" w:color="auto" w:fill="FFFFFF"/>
        </w:rPr>
        <w:t xml:space="preserve">that </w:t>
      </w:r>
      <w:r w:rsidRPr="0079432F">
        <w:rPr>
          <w:rFonts w:ascii="Verdana" w:hAnsi="Verdana" w:cs="Times New Roman"/>
          <w:sz w:val="20"/>
          <w:szCs w:val="20"/>
          <w:shd w:val="clear" w:color="auto" w:fill="FFFFFF"/>
        </w:rPr>
        <w:t>colleges designated as options for meeting the five commonly held categories of knowledge. Depending on where they enrolled, students could encounter 49 or 491 courses to meet a 12-course GE requirement. Most college GE offerings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were closer to the middle, with large and medium-sized institutions </w:t>
      </w:r>
      <w:r w:rsidR="00D46E10" w:rsidRPr="00987394">
        <w:rPr>
          <w:rFonts w:ascii="Verdana" w:hAnsi="Verdana" w:cs="Times New Roman"/>
          <w:sz w:val="20"/>
          <w:szCs w:val="20"/>
          <w:shd w:val="clear" w:color="auto" w:fill="FFFFFF"/>
        </w:rPr>
        <w:t>authorizing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192 and small colleges approving 102 GE courses, on average</w:t>
      </w:r>
      <w:r w:rsidR="00D46E1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. Across the nation, community college students represented in this study selected 12 courses from an </w:t>
      </w:r>
      <w:proofErr w:type="gramStart"/>
      <w:r w:rsidR="00D46E10" w:rsidRPr="00987394">
        <w:rPr>
          <w:rFonts w:ascii="Verdana" w:hAnsi="Verdana" w:cs="Times New Roman"/>
          <w:sz w:val="20"/>
          <w:szCs w:val="20"/>
          <w:shd w:val="clear" w:color="auto" w:fill="FFFFFF"/>
        </w:rPr>
        <w:t>average</w:t>
      </w:r>
      <w:proofErr w:type="gramEnd"/>
      <w:r w:rsidR="00D46E1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162 approved course options to meet </w:t>
      </w:r>
      <w:r w:rsidR="005B3964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their </w:t>
      </w:r>
      <w:r w:rsidR="00D46E1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GE </w:t>
      </w:r>
      <w:r w:rsidR="005B3964" w:rsidRPr="00987394">
        <w:rPr>
          <w:rFonts w:ascii="Verdana" w:hAnsi="Verdana" w:cs="Times New Roman"/>
          <w:sz w:val="20"/>
          <w:szCs w:val="20"/>
          <w:shd w:val="clear" w:color="auto" w:fill="FFFFFF"/>
        </w:rPr>
        <w:t>r</w:t>
      </w:r>
      <w:r w:rsidR="00D46E10" w:rsidRPr="00987394">
        <w:rPr>
          <w:rFonts w:ascii="Verdana" w:hAnsi="Verdana" w:cs="Times New Roman"/>
          <w:sz w:val="20"/>
          <w:szCs w:val="20"/>
          <w:shd w:val="clear" w:color="auto" w:fill="FFFFFF"/>
        </w:rPr>
        <w:t>equirements.</w:t>
      </w:r>
      <w:r w:rsidR="000B24D4">
        <w:rPr>
          <w:rFonts w:ascii="Verdana" w:hAnsi="Verdana" w:cs="Times New Roman"/>
          <w:b/>
          <w:bCs/>
          <w:i/>
          <w:iCs/>
          <w:sz w:val="20"/>
          <w:szCs w:val="20"/>
          <w:shd w:val="clear" w:color="auto" w:fill="FFFFFF"/>
        </w:rPr>
        <w:t xml:space="preserve"> </w:t>
      </w:r>
    </w:p>
    <w:p w14:paraId="2BF8BE59" w14:textId="77777777" w:rsidR="00A744DB" w:rsidRPr="00987394" w:rsidRDefault="00A744DB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02240C6A" w14:textId="293DE8A9" w:rsidR="00411FF0" w:rsidRPr="007E6E7E" w:rsidRDefault="00C82377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>Our</w:t>
      </w:r>
      <w:r w:rsidR="00FA21B3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study made it</w:t>
      </w:r>
      <w:r w:rsidR="00411FF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quite clear that community colleges share a strong consensus on the </w:t>
      </w:r>
      <w:r w:rsidR="00DC4178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knowledge area </w:t>
      </w:r>
      <w:r w:rsidR="00094F26" w:rsidRPr="00987394">
        <w:rPr>
          <w:rFonts w:ascii="Verdana" w:hAnsi="Verdana" w:cs="Times New Roman"/>
          <w:sz w:val="20"/>
          <w:szCs w:val="20"/>
          <w:shd w:val="clear" w:color="auto" w:fill="FFFFFF"/>
        </w:rPr>
        <w:t>framework for their</w:t>
      </w:r>
      <w:r w:rsidR="00411FF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GE programs—</w:t>
      </w:r>
      <w:r w:rsidR="00411FF0" w:rsidRPr="00510B95">
        <w:rPr>
          <w:rFonts w:ascii="Verdana" w:hAnsi="Verdana" w:cs="Times New Roman"/>
          <w:sz w:val="20"/>
          <w:szCs w:val="20"/>
          <w:shd w:val="clear" w:color="auto" w:fill="FFFFFF"/>
        </w:rPr>
        <w:t>Arts and</w:t>
      </w:r>
      <w:r w:rsidR="00B643D0" w:rsidRPr="00510B95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411FF0" w:rsidRPr="00510B95">
        <w:rPr>
          <w:rFonts w:ascii="Verdana" w:hAnsi="Verdana" w:cs="Times New Roman"/>
          <w:sz w:val="20"/>
          <w:szCs w:val="20"/>
          <w:shd w:val="clear" w:color="auto" w:fill="FFFFFF"/>
        </w:rPr>
        <w:t>Humanities</w:t>
      </w:r>
      <w:r w:rsidR="00411FF0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="00411FF0" w:rsidRPr="00510B95">
        <w:rPr>
          <w:rFonts w:ascii="Verdana" w:hAnsi="Verdana" w:cs="Times New Roman"/>
          <w:sz w:val="20"/>
          <w:szCs w:val="20"/>
          <w:shd w:val="clear" w:color="auto" w:fill="FFFFFF"/>
        </w:rPr>
        <w:t>Social and Behavioral Sciences</w:t>
      </w:r>
      <w:r w:rsidR="00411FF0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="00411FF0" w:rsidRPr="00510B95">
        <w:rPr>
          <w:rFonts w:ascii="Verdana" w:hAnsi="Verdana" w:cs="Times New Roman"/>
          <w:sz w:val="20"/>
          <w:szCs w:val="20"/>
          <w:shd w:val="clear" w:color="auto" w:fill="FFFFFF"/>
        </w:rPr>
        <w:t>Natural Sciences</w:t>
      </w:r>
      <w:r w:rsidR="00411FF0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="00411FF0" w:rsidRPr="00510B95">
        <w:rPr>
          <w:rFonts w:ascii="Verdana" w:hAnsi="Verdana" w:cs="Times New Roman"/>
          <w:sz w:val="20"/>
          <w:szCs w:val="20"/>
          <w:shd w:val="clear" w:color="auto" w:fill="FFFFFF"/>
        </w:rPr>
        <w:t>Communication and Composition</w:t>
      </w:r>
      <w:r w:rsidR="00411FF0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, and </w:t>
      </w:r>
      <w:r w:rsidR="00411FF0" w:rsidRPr="00510B95">
        <w:rPr>
          <w:rFonts w:ascii="Verdana" w:hAnsi="Verdana" w:cs="Times New Roman"/>
          <w:sz w:val="20"/>
          <w:szCs w:val="20"/>
          <w:shd w:val="clear" w:color="auto" w:fill="FFFFFF"/>
        </w:rPr>
        <w:t>Mathematics</w:t>
      </w:r>
      <w:r w:rsidR="00411FF0" w:rsidRPr="00987394">
        <w:rPr>
          <w:rFonts w:ascii="Verdana" w:hAnsi="Verdana" w:cs="Times New Roman"/>
          <w:sz w:val="20"/>
          <w:szCs w:val="20"/>
          <w:shd w:val="clear" w:color="auto" w:fill="FFFFFF"/>
        </w:rPr>
        <w:t>.</w:t>
      </w:r>
      <w:r w:rsidR="000B24D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411FF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Every college used these </w:t>
      </w:r>
      <w:r w:rsidR="00FA21B3" w:rsidRPr="00987394">
        <w:rPr>
          <w:rFonts w:ascii="Verdana" w:hAnsi="Verdana" w:cs="Times New Roman"/>
          <w:sz w:val="20"/>
          <w:szCs w:val="20"/>
          <w:shd w:val="clear" w:color="auto" w:fill="FFFFFF"/>
        </w:rPr>
        <w:t>classifications</w:t>
      </w:r>
      <w:r w:rsidR="00411FF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with some variation in nomenclature. 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All </w:t>
      </w:r>
      <w:r w:rsidR="00CC003D" w:rsidRPr="00987394">
        <w:rPr>
          <w:rFonts w:ascii="Verdana" w:hAnsi="Verdana" w:cs="Times New Roman"/>
          <w:sz w:val="20"/>
          <w:szCs w:val="20"/>
          <w:shd w:val="clear" w:color="auto" w:fill="FFFFFF"/>
        </w:rPr>
        <w:t>restricted</w:t>
      </w:r>
      <w:r w:rsidR="008B5E4D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="00411FF0" w:rsidRPr="00987394">
        <w:rPr>
          <w:rFonts w:ascii="Verdana" w:hAnsi="Verdana" w:cs="Times New Roman"/>
          <w:sz w:val="20"/>
          <w:szCs w:val="20"/>
          <w:shd w:val="clear" w:color="auto" w:fill="FFFFFF"/>
        </w:rPr>
        <w:t>and often specified</w:t>
      </w:r>
      <w:r w:rsidR="008B5E4D">
        <w:rPr>
          <w:rFonts w:ascii="Verdana" w:hAnsi="Verdana" w:cs="Times New Roman"/>
          <w:sz w:val="20"/>
          <w:szCs w:val="20"/>
          <w:shd w:val="clear" w:color="auto" w:fill="FFFFFF"/>
        </w:rPr>
        <w:t>,</w:t>
      </w:r>
      <w:r w:rsidR="00411FF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course options</w:t>
      </w:r>
      <w:r w:rsidR="0064276E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in </w:t>
      </w:r>
      <w:r w:rsidR="00411FF0" w:rsidRPr="008B5E4D">
        <w:rPr>
          <w:rFonts w:ascii="Verdana" w:hAnsi="Verdana" w:cs="Times New Roman"/>
          <w:sz w:val="20"/>
          <w:szCs w:val="20"/>
          <w:shd w:val="clear" w:color="auto" w:fill="FFFFFF"/>
        </w:rPr>
        <w:t>Communication and Composition</w:t>
      </w:r>
      <w:r w:rsidR="00411FF0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 and </w:t>
      </w:r>
      <w:r w:rsidR="00411FF0" w:rsidRPr="00510B95">
        <w:rPr>
          <w:rFonts w:ascii="Verdana" w:hAnsi="Verdana" w:cs="Times New Roman"/>
          <w:sz w:val="20"/>
          <w:szCs w:val="20"/>
          <w:shd w:val="clear" w:color="auto" w:fill="FFFFFF"/>
        </w:rPr>
        <w:t>Mathematics</w:t>
      </w:r>
      <w:r w:rsidR="00411FF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. </w:t>
      </w:r>
      <w:r w:rsidR="00D46E1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This is as close as the colleges came to sharing a common core of learning. </w:t>
      </w:r>
      <w:r w:rsidR="0015240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Seemingly, the common core that educators </w:t>
      </w:r>
      <w:r w:rsidR="00FE7128" w:rsidRPr="00987394">
        <w:rPr>
          <w:rFonts w:ascii="Verdana" w:hAnsi="Verdana" w:cs="Times New Roman"/>
          <w:sz w:val="20"/>
          <w:szCs w:val="20"/>
          <w:shd w:val="clear" w:color="auto" w:fill="FFFFFF"/>
        </w:rPr>
        <w:t>feel</w:t>
      </w:r>
      <w:r w:rsidR="0015240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most comfortable </w:t>
      </w:r>
      <w:r w:rsidR="00F3042C" w:rsidRPr="00987394">
        <w:rPr>
          <w:rFonts w:ascii="Verdana" w:hAnsi="Verdana" w:cs="Times New Roman"/>
          <w:sz w:val="20"/>
          <w:szCs w:val="20"/>
          <w:shd w:val="clear" w:color="auto" w:fill="FFFFFF"/>
        </w:rPr>
        <w:t>requiring</w:t>
      </w:r>
      <w:r w:rsidR="0015240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is still “</w:t>
      </w:r>
      <w:r w:rsidR="00152402" w:rsidRPr="00510B95">
        <w:rPr>
          <w:rFonts w:ascii="Verdana" w:hAnsi="Verdana" w:cs="Times New Roman"/>
          <w:sz w:val="20"/>
          <w:szCs w:val="20"/>
          <w:shd w:val="clear" w:color="auto" w:fill="FFFFFF"/>
        </w:rPr>
        <w:t>readin’ and writin' and ‘rithmetic</w:t>
      </w:r>
      <w:r w:rsidR="00152402" w:rsidRPr="007E6E7E">
        <w:rPr>
          <w:rFonts w:ascii="Verdana" w:hAnsi="Verdana" w:cs="Times New Roman"/>
          <w:sz w:val="20"/>
          <w:szCs w:val="20"/>
          <w:shd w:val="clear" w:color="auto" w:fill="FFFFFF"/>
        </w:rPr>
        <w:t>”</w:t>
      </w:r>
      <w:r w:rsidR="008B5E4D">
        <w:rPr>
          <w:rFonts w:ascii="Verdana" w:hAnsi="Verdana" w:cs="Times New Roman"/>
          <w:sz w:val="20"/>
          <w:szCs w:val="20"/>
          <w:shd w:val="clear" w:color="auto" w:fill="FFFFFF"/>
        </w:rPr>
        <w:t xml:space="preserve"> (</w:t>
      </w:r>
      <w:r w:rsidR="008B5E4D">
        <w:rPr>
          <w:rFonts w:ascii="Verdana" w:hAnsi="Verdana" w:cs="Times New Roman"/>
          <w:sz w:val="20"/>
          <w:szCs w:val="20"/>
        </w:rPr>
        <w:t>Cobb &amp; Edwards, 1907</w:t>
      </w:r>
      <w:r w:rsidR="008B5E4D">
        <w:rPr>
          <w:rFonts w:ascii="Verdana" w:hAnsi="Verdana" w:cs="Times New Roman"/>
          <w:sz w:val="20"/>
          <w:szCs w:val="20"/>
          <w:shd w:val="clear" w:color="auto" w:fill="FFFFFF"/>
        </w:rPr>
        <w:t>).</w:t>
      </w:r>
    </w:p>
    <w:p w14:paraId="1E1262EB" w14:textId="77777777" w:rsidR="00A744DB" w:rsidRPr="00987394" w:rsidRDefault="00A744DB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43B20AEF" w14:textId="60081A6E" w:rsidR="00930E81" w:rsidRPr="00987394" w:rsidRDefault="0009296A" w:rsidP="00A62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>A key</w:t>
      </w:r>
      <w:r w:rsidR="0064160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>observation</w:t>
      </w:r>
      <w:r w:rsidR="0064160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from this study is that the contemporary community college is an institution of higher education that shares a great deal of agreement on the five categories use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>d</w:t>
      </w:r>
      <w:r w:rsidR="0064160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to organize the</w:t>
      </w:r>
      <w:r w:rsidR="0018536D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foundational</w:t>
      </w:r>
      <w:r w:rsidR="0064160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knowledge students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are expected</w:t>
      </w:r>
      <w:r w:rsidR="0064160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to learn. Furthermore, in two of those cate</w:t>
      </w:r>
      <w:r w:rsidR="000A2A6C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gories, </w:t>
      </w:r>
      <w:r w:rsidR="000A2A6C" w:rsidRPr="00510B95">
        <w:rPr>
          <w:rFonts w:ascii="Verdana" w:hAnsi="Verdana" w:cs="Times New Roman"/>
          <w:sz w:val="20"/>
          <w:szCs w:val="20"/>
          <w:shd w:val="clear" w:color="auto" w:fill="FFFFFF"/>
        </w:rPr>
        <w:t>Communication and Composition</w:t>
      </w:r>
      <w:r w:rsidR="000A2A6C" w:rsidRPr="007E6E7E">
        <w:rPr>
          <w:rFonts w:ascii="Verdana" w:hAnsi="Verdana" w:cs="Times New Roman"/>
          <w:sz w:val="20"/>
          <w:szCs w:val="20"/>
          <w:shd w:val="clear" w:color="auto" w:fill="FFFFFF"/>
        </w:rPr>
        <w:t xml:space="preserve"> and </w:t>
      </w:r>
      <w:r w:rsidR="000A2A6C" w:rsidRPr="00510B95">
        <w:rPr>
          <w:rFonts w:ascii="Verdana" w:hAnsi="Verdana" w:cs="Times New Roman"/>
          <w:sz w:val="20"/>
          <w:szCs w:val="20"/>
          <w:shd w:val="clear" w:color="auto" w:fill="FFFFFF"/>
        </w:rPr>
        <w:t>Mathematics</w:t>
      </w:r>
      <w:r w:rsidR="000A2A6C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community colleges generally agree </w:t>
      </w:r>
      <w:r w:rsidR="000A2A6C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on specific courses students should take to </w:t>
      </w:r>
      <w:r w:rsidR="00DA64D7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attain </w:t>
      </w:r>
      <w:r w:rsidR="00F36654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these critical </w:t>
      </w:r>
      <w:r w:rsidR="00DA64D7" w:rsidRPr="00987394">
        <w:rPr>
          <w:rFonts w:ascii="Verdana" w:hAnsi="Verdana" w:cs="Times New Roman"/>
          <w:sz w:val="20"/>
          <w:szCs w:val="20"/>
          <w:shd w:val="clear" w:color="auto" w:fill="FFFFFF"/>
        </w:rPr>
        <w:t>skills</w:t>
      </w:r>
      <w:r w:rsidR="000A2A6C" w:rsidRPr="00987394">
        <w:rPr>
          <w:rFonts w:ascii="Verdana" w:hAnsi="Verdana" w:cs="Times New Roman"/>
          <w:sz w:val="20"/>
          <w:szCs w:val="20"/>
          <w:shd w:val="clear" w:color="auto" w:fill="FFFFFF"/>
        </w:rPr>
        <w:t>.</w:t>
      </w:r>
      <w:r w:rsidR="00B1249A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18536D" w:rsidRPr="00987394">
        <w:rPr>
          <w:rFonts w:ascii="Verdana" w:hAnsi="Verdana" w:cs="Times New Roman"/>
          <w:sz w:val="20"/>
          <w:szCs w:val="20"/>
          <w:shd w:val="clear" w:color="auto" w:fill="FFFFFF"/>
        </w:rPr>
        <w:t>If faculty</w:t>
      </w:r>
      <w:r w:rsidR="00FE44D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across the country</w:t>
      </w:r>
      <w:r w:rsidR="00B1249A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can </w:t>
      </w:r>
      <w:r w:rsidR="00B27FFE" w:rsidRPr="00987394">
        <w:rPr>
          <w:rFonts w:ascii="Verdana" w:hAnsi="Verdana" w:cs="Times New Roman"/>
          <w:sz w:val="20"/>
          <w:szCs w:val="20"/>
          <w:shd w:val="clear" w:color="auto" w:fill="FFFFFF"/>
        </w:rPr>
        <w:t>reach agreement</w:t>
      </w:r>
      <w:r w:rsidR="00B1249A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on five </w:t>
      </w:r>
      <w:r w:rsidR="00B27FFE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fundamental </w:t>
      </w:r>
      <w:r w:rsidR="00B1249A" w:rsidRPr="00987394">
        <w:rPr>
          <w:rFonts w:ascii="Verdana" w:hAnsi="Verdana" w:cs="Times New Roman"/>
          <w:sz w:val="20"/>
          <w:szCs w:val="20"/>
          <w:shd w:val="clear" w:color="auto" w:fill="FFFFFF"/>
        </w:rPr>
        <w:t>categories of</w:t>
      </w:r>
      <w:r w:rsidR="00DB0CD5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knowledge and on the courses required in two of those </w:t>
      </w:r>
      <w:r w:rsidR="0075661C" w:rsidRPr="00987394">
        <w:rPr>
          <w:rFonts w:ascii="Verdana" w:hAnsi="Verdana" w:cs="Times New Roman"/>
          <w:sz w:val="20"/>
          <w:szCs w:val="20"/>
          <w:shd w:val="clear" w:color="auto" w:fill="FFFFFF"/>
        </w:rPr>
        <w:t>categories,</w:t>
      </w:r>
      <w:r w:rsidR="00DB0CD5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then </w:t>
      </w:r>
      <w:r w:rsidR="00B27FFE" w:rsidRPr="00987394">
        <w:rPr>
          <w:rFonts w:ascii="Verdana" w:hAnsi="Verdana" w:cs="Times New Roman"/>
          <w:sz w:val="20"/>
          <w:szCs w:val="20"/>
          <w:shd w:val="clear" w:color="auto" w:fill="FFFFFF"/>
        </w:rPr>
        <w:t>it seems plausible</w:t>
      </w:r>
      <w:r w:rsidR="00DB0CD5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for them to agree on the </w:t>
      </w:r>
      <w:r w:rsidR="0018536D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essential </w:t>
      </w:r>
      <w:r w:rsidR="00075E3A" w:rsidRPr="00987394">
        <w:rPr>
          <w:rFonts w:ascii="Verdana" w:hAnsi="Verdana" w:cs="Times New Roman"/>
          <w:sz w:val="20"/>
          <w:szCs w:val="20"/>
          <w:shd w:val="clear" w:color="auto" w:fill="FFFFFF"/>
        </w:rPr>
        <w:t>body of learning</w:t>
      </w:r>
      <w:r w:rsidR="00DB0CD5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in the other </w:t>
      </w:r>
      <w:r w:rsidR="00C4291D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three </w:t>
      </w:r>
      <w:r w:rsidR="00DB0CD5" w:rsidRPr="00987394">
        <w:rPr>
          <w:rFonts w:ascii="Verdana" w:hAnsi="Verdana" w:cs="Times New Roman"/>
          <w:sz w:val="20"/>
          <w:szCs w:val="20"/>
          <w:shd w:val="clear" w:color="auto" w:fill="FFFFFF"/>
        </w:rPr>
        <w:t>categories</w:t>
      </w:r>
      <w:r w:rsidR="00075E3A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. </w:t>
      </w:r>
      <w:r w:rsidR="006F1B05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At a minimum, bringing GE requirements into </w:t>
      </w:r>
      <w:r w:rsidR="00F3220F">
        <w:rPr>
          <w:rFonts w:ascii="Verdana" w:hAnsi="Verdana" w:cs="Times New Roman"/>
          <w:sz w:val="20"/>
          <w:szCs w:val="20"/>
          <w:shd w:val="clear" w:color="auto" w:fill="FFFFFF"/>
        </w:rPr>
        <w:t>g</w:t>
      </w:r>
      <w:r w:rsidR="006F1B05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uided </w:t>
      </w:r>
      <w:r w:rsidR="00F3220F">
        <w:rPr>
          <w:rFonts w:ascii="Verdana" w:hAnsi="Verdana" w:cs="Times New Roman"/>
          <w:sz w:val="20"/>
          <w:szCs w:val="20"/>
          <w:shd w:val="clear" w:color="auto" w:fill="FFFFFF"/>
        </w:rPr>
        <w:t>p</w:t>
      </w:r>
      <w:r w:rsidR="006F1B05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athways discussions would signal a courageous, student-centered approach to making </w:t>
      </w:r>
      <w:r w:rsidR="00B27FFE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the </w:t>
      </w:r>
      <w:r w:rsidR="004D4AF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critical </w:t>
      </w:r>
      <w:r w:rsidR="006F1B05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knowledge deemed essential for all students more meaningful than checking 12 boxes </w:t>
      </w:r>
      <w:r w:rsidR="005B3964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from </w:t>
      </w:r>
      <w:r w:rsidR="006F1B05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a list of 162 to get to the finish line. </w:t>
      </w:r>
      <w:r w:rsidR="00DB0CD5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We hope the findings of this study will motivate faculty across the </w:t>
      </w:r>
      <w:r w:rsidR="008B5E4D">
        <w:rPr>
          <w:rFonts w:ascii="Verdana" w:hAnsi="Verdana" w:cs="Times New Roman"/>
          <w:sz w:val="20"/>
          <w:szCs w:val="20"/>
          <w:shd w:val="clear" w:color="auto" w:fill="FFFFFF"/>
        </w:rPr>
        <w:t>U.S.</w:t>
      </w:r>
      <w:r w:rsidR="00DB0CD5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to consider creating </w:t>
      </w:r>
      <w:r w:rsidR="000F194E" w:rsidRPr="00987394">
        <w:rPr>
          <w:rFonts w:ascii="Verdana" w:hAnsi="Verdana" w:cs="Times New Roman"/>
          <w:sz w:val="20"/>
          <w:szCs w:val="20"/>
          <w:shd w:val="clear" w:color="auto" w:fill="FFFFFF"/>
        </w:rPr>
        <w:t>a</w:t>
      </w:r>
      <w:r w:rsidR="00A93537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focused </w:t>
      </w:r>
      <w:r w:rsidR="00F97FCB" w:rsidRPr="00987394">
        <w:rPr>
          <w:rFonts w:ascii="Verdana" w:hAnsi="Verdana" w:cs="Times New Roman"/>
          <w:sz w:val="20"/>
          <w:szCs w:val="20"/>
          <w:shd w:val="clear" w:color="auto" w:fill="FFFFFF"/>
        </w:rPr>
        <w:t>foundation</w:t>
      </w:r>
      <w:r w:rsidR="004D4AF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DB0CD5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of </w:t>
      </w:r>
      <w:r w:rsidR="00A93537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essential </w:t>
      </w:r>
      <w:r w:rsidR="00E14B1A" w:rsidRPr="00987394">
        <w:rPr>
          <w:rFonts w:ascii="Verdana" w:hAnsi="Verdana" w:cs="Times New Roman"/>
          <w:sz w:val="20"/>
          <w:szCs w:val="20"/>
          <w:shd w:val="clear" w:color="auto" w:fill="FFFFFF"/>
        </w:rPr>
        <w:t>education</w:t>
      </w:r>
      <w:r w:rsidR="00F3220F">
        <w:rPr>
          <w:rFonts w:ascii="Verdana" w:hAnsi="Verdana" w:cs="Times New Roman"/>
          <w:sz w:val="20"/>
          <w:szCs w:val="20"/>
          <w:shd w:val="clear" w:color="auto" w:fill="FFFFFF"/>
        </w:rPr>
        <w:t>—</w:t>
      </w:r>
      <w:r w:rsidR="002834EF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curated </w:t>
      </w:r>
      <w:r w:rsidR="000F194E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courses </w:t>
      </w:r>
      <w:r w:rsidR="00B044DB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or </w:t>
      </w:r>
      <w:r w:rsidR="00274F4C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certified </w:t>
      </w:r>
      <w:r w:rsidR="00B044DB" w:rsidRPr="00987394">
        <w:rPr>
          <w:rFonts w:ascii="Verdana" w:hAnsi="Verdana" w:cs="Times New Roman"/>
          <w:sz w:val="20"/>
          <w:szCs w:val="20"/>
          <w:shd w:val="clear" w:color="auto" w:fill="FFFFFF"/>
        </w:rPr>
        <w:t>learning experiences</w:t>
      </w:r>
      <w:r w:rsidR="00F3220F">
        <w:rPr>
          <w:rFonts w:ascii="Verdana" w:hAnsi="Verdana" w:cs="Times New Roman"/>
          <w:sz w:val="20"/>
          <w:szCs w:val="20"/>
          <w:shd w:val="clear" w:color="auto" w:fill="FFFFFF"/>
        </w:rPr>
        <w:t>—</w:t>
      </w:r>
      <w:r w:rsidR="00996D97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that will </w:t>
      </w:r>
      <w:r w:rsidR="00DB0CD5" w:rsidRPr="00987394">
        <w:rPr>
          <w:rFonts w:ascii="Verdana" w:hAnsi="Verdana" w:cs="Times New Roman"/>
          <w:sz w:val="20"/>
          <w:szCs w:val="20"/>
          <w:shd w:val="clear" w:color="auto" w:fill="FFFFFF"/>
        </w:rPr>
        <w:t>greatly benefit</w:t>
      </w:r>
      <w:r w:rsidR="00A36CA5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their students, their advisors, and themselves as the guardians of wha</w:t>
      </w:r>
      <w:r w:rsidR="00FE7128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t </w:t>
      </w:r>
      <w:r w:rsidR="00A36CA5" w:rsidRPr="00987394">
        <w:rPr>
          <w:rFonts w:ascii="Verdana" w:hAnsi="Verdana" w:cs="Times New Roman"/>
          <w:sz w:val="20"/>
          <w:szCs w:val="20"/>
          <w:shd w:val="clear" w:color="auto" w:fill="FFFFFF"/>
        </w:rPr>
        <w:t>students should learn.</w:t>
      </w:r>
    </w:p>
    <w:p w14:paraId="67986DCB" w14:textId="77777777" w:rsidR="00A744DB" w:rsidRPr="00987394" w:rsidRDefault="00A744DB" w:rsidP="00A623FA">
      <w:pPr>
        <w:spacing w:after="0" w:line="240" w:lineRule="auto"/>
        <w:ind w:left="576" w:hanging="576"/>
        <w:rPr>
          <w:rStyle w:val="A4"/>
          <w:rFonts w:ascii="Verdana" w:hAnsi="Verdana"/>
          <w:color w:val="auto"/>
          <w:sz w:val="20"/>
          <w:szCs w:val="20"/>
        </w:rPr>
      </w:pPr>
    </w:p>
    <w:p w14:paraId="5462C6CD" w14:textId="7730F1A4" w:rsidR="00476901" w:rsidRDefault="00476901" w:rsidP="000B24D4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</w:pPr>
      <w:r w:rsidRPr="00987394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>References</w:t>
      </w:r>
    </w:p>
    <w:p w14:paraId="2BB31970" w14:textId="77777777" w:rsidR="000B24D4" w:rsidRPr="000B24D4" w:rsidRDefault="000B24D4" w:rsidP="000B24D4">
      <w:pPr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440F4925" w14:textId="0443F163" w:rsidR="007A6E78" w:rsidRPr="00987394" w:rsidRDefault="008E665C" w:rsidP="000B24D4">
      <w:pPr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>Ali, R. (2019</w:t>
      </w:r>
      <w:r w:rsidR="00D21DC0" w:rsidRPr="00987394">
        <w:rPr>
          <w:rFonts w:ascii="Verdana" w:hAnsi="Verdana" w:cs="Times New Roman"/>
          <w:sz w:val="20"/>
          <w:szCs w:val="20"/>
          <w:shd w:val="clear" w:color="auto" w:fill="FFFFFF"/>
        </w:rPr>
        <w:t>, February 18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). The </w:t>
      </w:r>
      <w:r w:rsidR="007D7128" w:rsidRPr="00987394">
        <w:rPr>
          <w:rFonts w:ascii="Verdana" w:hAnsi="Verdana" w:cs="Times New Roman"/>
          <w:sz w:val="20"/>
          <w:szCs w:val="20"/>
          <w:shd w:val="clear" w:color="auto" w:fill="FFFFFF"/>
        </w:rPr>
        <w:t>n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ew </w:t>
      </w:r>
      <w:r w:rsidR="00AE483E" w:rsidRPr="00987394">
        <w:rPr>
          <w:rFonts w:ascii="Verdana" w:hAnsi="Verdana" w:cs="Times New Roman"/>
          <w:sz w:val="20"/>
          <w:szCs w:val="20"/>
          <w:shd w:val="clear" w:color="auto" w:fill="FFFFFF"/>
        </w:rPr>
        <w:t>‘</w:t>
      </w:r>
      <w:r w:rsidR="007D7128" w:rsidRPr="00987394">
        <w:rPr>
          <w:rFonts w:ascii="Verdana" w:hAnsi="Verdana" w:cs="Times New Roman"/>
          <w:sz w:val="20"/>
          <w:szCs w:val="20"/>
          <w:shd w:val="clear" w:color="auto" w:fill="FFFFFF"/>
        </w:rPr>
        <w:t>n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ew </w:t>
      </w:r>
      <w:r w:rsidR="007D7128" w:rsidRPr="00987394">
        <w:rPr>
          <w:rFonts w:ascii="Verdana" w:hAnsi="Verdana" w:cs="Times New Roman"/>
          <w:sz w:val="20"/>
          <w:szCs w:val="20"/>
          <w:shd w:val="clear" w:color="auto" w:fill="FFFFFF"/>
        </w:rPr>
        <w:t>e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>ducation</w:t>
      </w:r>
      <w:r w:rsidR="00AE483E" w:rsidRPr="00987394">
        <w:rPr>
          <w:rFonts w:ascii="Verdana" w:hAnsi="Verdana" w:cs="Times New Roman"/>
          <w:sz w:val="20"/>
          <w:szCs w:val="20"/>
          <w:shd w:val="clear" w:color="auto" w:fill="FFFFFF"/>
        </w:rPr>
        <w:t>.</w:t>
      </w:r>
      <w:r w:rsidR="00D21DC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’ </w:t>
      </w:r>
      <w:r w:rsidR="00D21DC0"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>The Atlantic</w:t>
      </w:r>
      <w:r w:rsidR="007A6E78"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>.</w:t>
      </w:r>
      <w:r w:rsidR="007A6E78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hyperlink r:id="rId15" w:history="1">
        <w:r w:rsidR="007017C8" w:rsidRPr="00510B95">
          <w:rPr>
            <w:rStyle w:val="Hyperlink"/>
            <w:rFonts w:ascii="Verdana" w:hAnsi="Verdana" w:cs="Times New Roman"/>
            <w:sz w:val="20"/>
            <w:szCs w:val="20"/>
            <w:shd w:val="clear" w:color="auto" w:fill="FFFFFF"/>
          </w:rPr>
          <w:t>https://www.theatlantic.com/ideas/archive/2019/02/charles-eliot-saw-promise-public-high-schools/582967</w:t>
        </w:r>
      </w:hyperlink>
    </w:p>
    <w:p w14:paraId="0AF3487F" w14:textId="77777777" w:rsidR="000B24D4" w:rsidRDefault="000B24D4" w:rsidP="000B24D4">
      <w:pPr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287AD18E" w14:textId="3230D587" w:rsidR="005B24D0" w:rsidRPr="00987394" w:rsidRDefault="005B24D0" w:rsidP="000B24D4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987394">
        <w:rPr>
          <w:rFonts w:ascii="Verdana" w:hAnsi="Verdana"/>
          <w:sz w:val="20"/>
          <w:szCs w:val="20"/>
        </w:rPr>
        <w:t xml:space="preserve">Association of American Colleges. </w:t>
      </w:r>
      <w:r w:rsidR="00952ACD" w:rsidRPr="00987394">
        <w:rPr>
          <w:rFonts w:ascii="Verdana" w:hAnsi="Verdana"/>
          <w:sz w:val="20"/>
          <w:szCs w:val="20"/>
        </w:rPr>
        <w:t>(</w:t>
      </w:r>
      <w:r w:rsidRPr="00987394">
        <w:rPr>
          <w:rFonts w:ascii="Verdana" w:hAnsi="Verdana"/>
          <w:sz w:val="20"/>
          <w:szCs w:val="20"/>
        </w:rPr>
        <w:t>1985</w:t>
      </w:r>
      <w:r w:rsidR="00952ACD" w:rsidRPr="00987394">
        <w:rPr>
          <w:rFonts w:ascii="Verdana" w:hAnsi="Verdana"/>
          <w:sz w:val="20"/>
          <w:szCs w:val="20"/>
        </w:rPr>
        <w:t>)</w:t>
      </w:r>
      <w:r w:rsidRPr="00987394">
        <w:rPr>
          <w:rFonts w:ascii="Verdana" w:hAnsi="Verdana"/>
          <w:sz w:val="20"/>
          <w:szCs w:val="20"/>
        </w:rPr>
        <w:t xml:space="preserve">. </w:t>
      </w:r>
      <w:r w:rsidRPr="00987394">
        <w:rPr>
          <w:rFonts w:ascii="Verdana" w:hAnsi="Verdana"/>
          <w:i/>
          <w:iCs/>
          <w:sz w:val="20"/>
          <w:szCs w:val="20"/>
        </w:rPr>
        <w:t>Integrity in the college curriculum: A report to the academic community</w:t>
      </w:r>
      <w:r w:rsidRPr="00987394">
        <w:rPr>
          <w:rFonts w:ascii="Verdana" w:hAnsi="Verdana"/>
          <w:sz w:val="20"/>
          <w:szCs w:val="20"/>
        </w:rPr>
        <w:t xml:space="preserve">. </w:t>
      </w:r>
    </w:p>
    <w:p w14:paraId="0D506F8D" w14:textId="77777777" w:rsidR="000B24D4" w:rsidRDefault="000B24D4" w:rsidP="000B24D4">
      <w:pPr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6C718DCC" w14:textId="3DAF68B3" w:rsidR="00476901" w:rsidRPr="00987394" w:rsidRDefault="00476901" w:rsidP="000B24D4">
      <w:pPr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>Bailey, T</w:t>
      </w:r>
      <w:r w:rsidR="001D263A" w:rsidRPr="00987394">
        <w:rPr>
          <w:rFonts w:ascii="Verdana" w:hAnsi="Verdana" w:cs="Times New Roman"/>
          <w:sz w:val="20"/>
          <w:szCs w:val="20"/>
          <w:shd w:val="clear" w:color="auto" w:fill="FFFFFF"/>
        </w:rPr>
        <w:t>.</w:t>
      </w:r>
      <w:r w:rsidR="00A528F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1D263A" w:rsidRPr="00987394">
        <w:rPr>
          <w:rFonts w:ascii="Verdana" w:hAnsi="Verdana" w:cs="Times New Roman"/>
          <w:sz w:val="20"/>
          <w:szCs w:val="20"/>
          <w:shd w:val="clear" w:color="auto" w:fill="FFFFFF"/>
        </w:rPr>
        <w:t>R., Jaggars, S.</w:t>
      </w:r>
      <w:r w:rsidR="00A528F0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1D263A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S., &amp; Jenkins, D. 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(2015). </w:t>
      </w:r>
      <w:r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 xml:space="preserve">Redesigning </w:t>
      </w:r>
      <w:r w:rsidR="00293A22"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>A</w:t>
      </w:r>
      <w:r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 xml:space="preserve">merica’s </w:t>
      </w:r>
      <w:r w:rsidR="00293A22"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>c</w:t>
      </w:r>
      <w:r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 xml:space="preserve">ommunity </w:t>
      </w:r>
      <w:r w:rsidR="00293A22"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>c</w:t>
      </w:r>
      <w:r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 xml:space="preserve">olleges: A </w:t>
      </w:r>
      <w:r w:rsidR="00293A22"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>c</w:t>
      </w:r>
      <w:r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 xml:space="preserve">learer </w:t>
      </w:r>
      <w:r w:rsidR="00293A22"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>p</w:t>
      </w:r>
      <w:r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 xml:space="preserve">ath to </w:t>
      </w:r>
      <w:r w:rsidR="00293A22"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>s</w:t>
      </w:r>
      <w:r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 xml:space="preserve">tudent </w:t>
      </w:r>
      <w:r w:rsidR="00293A22"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>s</w:t>
      </w:r>
      <w:r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>uccess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>. Harvard University Press.</w:t>
      </w:r>
    </w:p>
    <w:p w14:paraId="2262D6F2" w14:textId="77777777" w:rsidR="000B24D4" w:rsidRDefault="000B24D4" w:rsidP="000B24D4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533B0CDF" w14:textId="4A3C970F" w:rsidR="00AB3A93" w:rsidRPr="00987394" w:rsidRDefault="00AB3A93" w:rsidP="00AB3A93">
      <w:pPr>
        <w:spacing w:after="0" w:line="240" w:lineRule="auto"/>
        <w:rPr>
          <w:rFonts w:ascii="Verdana" w:hAnsi="Verdana" w:cs="Times New Roman"/>
          <w:sz w:val="20"/>
          <w:szCs w:val="20"/>
          <w:u w:val="single"/>
        </w:rPr>
      </w:pPr>
      <w:r w:rsidRPr="00987394">
        <w:rPr>
          <w:rFonts w:ascii="Verdana" w:hAnsi="Verdana" w:cs="Times New Roman"/>
          <w:sz w:val="20"/>
          <w:szCs w:val="20"/>
        </w:rPr>
        <w:lastRenderedPageBreak/>
        <w:t>Carnegie Classification of Institutions of Higher Education (n.d.). </w:t>
      </w:r>
      <w:r>
        <w:rPr>
          <w:rFonts w:ascii="Verdana" w:hAnsi="Verdana" w:cs="Times New Roman"/>
          <w:i/>
          <w:iCs/>
          <w:sz w:val="20"/>
          <w:szCs w:val="20"/>
        </w:rPr>
        <w:t>Size &amp; setting classification</w:t>
      </w:r>
      <w:r w:rsidRPr="00987394">
        <w:rPr>
          <w:rFonts w:ascii="Verdana" w:hAnsi="Verdana" w:cs="Times New Roman"/>
          <w:sz w:val="20"/>
          <w:szCs w:val="20"/>
        </w:rPr>
        <w:t xml:space="preserve">. </w:t>
      </w:r>
      <w:r w:rsidRPr="000F1948">
        <w:rPr>
          <w:rStyle w:val="Hyperlink"/>
          <w:rFonts w:ascii="Verdana" w:hAnsi="Verdana" w:cs="Times New Roman"/>
          <w:sz w:val="20"/>
          <w:szCs w:val="20"/>
        </w:rPr>
        <w:t>https://carnegieclassifications.acenet.edu/carnegie-classification/classification-methodology/size-</w:t>
      </w:r>
      <w:hyperlink r:id="rId16" w:history="1">
        <w:r w:rsidRPr="00407777">
          <w:rPr>
            <w:rStyle w:val="Hyperlink"/>
            <w:rFonts w:ascii="Verdana" w:hAnsi="Verdana" w:cs="Times New Roman"/>
            <w:sz w:val="20"/>
            <w:szCs w:val="20"/>
          </w:rPr>
          <w:t>setting</w:t>
        </w:r>
      </w:hyperlink>
      <w:r w:rsidRPr="000F1948">
        <w:rPr>
          <w:rStyle w:val="Hyperlink"/>
          <w:rFonts w:ascii="Verdana" w:hAnsi="Verdana" w:cs="Times New Roman"/>
          <w:sz w:val="20"/>
          <w:szCs w:val="20"/>
        </w:rPr>
        <w:t>-classification</w:t>
      </w:r>
    </w:p>
    <w:p w14:paraId="622D4EBD" w14:textId="77777777" w:rsidR="000B24D4" w:rsidRDefault="000B24D4" w:rsidP="000B24D4">
      <w:pPr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0738663D" w14:textId="1CCB0595" w:rsidR="00476901" w:rsidRPr="00987394" w:rsidRDefault="00476901" w:rsidP="000B24D4">
      <w:pPr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Carnegie Classification of Institutions of Higher Education. (2018). </w:t>
      </w:r>
      <w:r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 xml:space="preserve">2018 </w:t>
      </w:r>
      <w:r w:rsidR="000C348F"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>u</w:t>
      </w:r>
      <w:r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>pdate</w:t>
      </w:r>
      <w:r w:rsidR="009B2C98"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>: F</w:t>
      </w:r>
      <w:r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>acts &amp; figures.</w:t>
      </w: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9B2C98" w:rsidRPr="00987394">
        <w:rPr>
          <w:rFonts w:ascii="Verdana" w:hAnsi="Verdana" w:cs="Times New Roman"/>
          <w:sz w:val="20"/>
          <w:szCs w:val="20"/>
          <w:shd w:val="clear" w:color="auto" w:fill="FFFFFF"/>
        </w:rPr>
        <w:t>Center for Postsecondary Research</w:t>
      </w:r>
      <w:r w:rsidR="004F036C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="004F036C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Indiana </w:t>
      </w:r>
      <w:proofErr w:type="gramStart"/>
      <w:r w:rsidR="004F036C" w:rsidRPr="00987394">
        <w:rPr>
          <w:rFonts w:ascii="Verdana" w:hAnsi="Verdana" w:cs="Times New Roman"/>
          <w:sz w:val="20"/>
          <w:szCs w:val="20"/>
          <w:shd w:val="clear" w:color="auto" w:fill="FFFFFF"/>
        </w:rPr>
        <w:t>University of</w:t>
      </w:r>
      <w:proofErr w:type="gramEnd"/>
      <w:r w:rsidR="004F036C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School of Education</w:t>
      </w:r>
      <w:r w:rsidR="009B2C98" w:rsidRPr="00987394">
        <w:rPr>
          <w:rFonts w:ascii="Verdana" w:hAnsi="Verdana" w:cs="Times New Roman"/>
          <w:sz w:val="20"/>
          <w:szCs w:val="20"/>
          <w:shd w:val="clear" w:color="auto" w:fill="FFFFFF"/>
        </w:rPr>
        <w:t>.</w:t>
      </w:r>
      <w:r w:rsidR="000B24D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hyperlink r:id="rId17" w:history="1">
        <w:r w:rsidR="004F036C" w:rsidRPr="009D0506">
          <w:rPr>
            <w:rStyle w:val="Hyperlink"/>
            <w:rFonts w:ascii="Verdana" w:hAnsi="Verdana" w:cs="Times New Roman"/>
            <w:sz w:val="20"/>
            <w:szCs w:val="20"/>
            <w:shd w:val="clear" w:color="auto" w:fill="FFFFFF"/>
          </w:rPr>
          <w:t>https://carnegieclassifications.acenet.edu/downloads/CCIHE2018-FactsFigures.pdf</w:t>
        </w:r>
      </w:hyperlink>
      <w:r w:rsidR="004F036C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</w:p>
    <w:p w14:paraId="543786F5" w14:textId="77777777" w:rsidR="000B24D4" w:rsidRDefault="000B24D4" w:rsidP="000B24D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33A68327" w14:textId="4EBB95E6" w:rsidR="00A03AB3" w:rsidRPr="00987394" w:rsidRDefault="00A03AB3" w:rsidP="000B24D4">
      <w:pPr>
        <w:autoSpaceDE w:val="0"/>
        <w:autoSpaceDN w:val="0"/>
        <w:adjustRightInd w:val="0"/>
        <w:spacing w:after="0" w:line="240" w:lineRule="auto"/>
        <w:rPr>
          <w:rStyle w:val="Hyperlink"/>
          <w:rFonts w:ascii="Verdana" w:hAnsi="Verdana" w:cs="Times New Roman"/>
          <w:color w:val="auto"/>
          <w:sz w:val="20"/>
          <w:szCs w:val="20"/>
        </w:rPr>
      </w:pPr>
      <w:r w:rsidRPr="00987394">
        <w:rPr>
          <w:rFonts w:ascii="Verdana" w:hAnsi="Verdana" w:cs="Times New Roman"/>
          <w:sz w:val="20"/>
          <w:szCs w:val="20"/>
        </w:rPr>
        <w:t>Cobb, W. D.</w:t>
      </w:r>
      <w:r w:rsidR="00EB7C9B">
        <w:rPr>
          <w:rFonts w:ascii="Verdana" w:hAnsi="Verdana" w:cs="Times New Roman"/>
          <w:sz w:val="20"/>
          <w:szCs w:val="20"/>
        </w:rPr>
        <w:t>,</w:t>
      </w:r>
      <w:r w:rsidRPr="00987394">
        <w:rPr>
          <w:rFonts w:ascii="Verdana" w:hAnsi="Verdana" w:cs="Times New Roman"/>
          <w:sz w:val="20"/>
          <w:szCs w:val="20"/>
        </w:rPr>
        <w:t xml:space="preserve"> &amp; Edwards, G. </w:t>
      </w:r>
      <w:r w:rsidR="00EB7C9B">
        <w:rPr>
          <w:rFonts w:ascii="Verdana" w:hAnsi="Verdana" w:cs="Times New Roman"/>
          <w:sz w:val="20"/>
          <w:szCs w:val="20"/>
        </w:rPr>
        <w:t>[Song]</w:t>
      </w:r>
      <w:r w:rsidRPr="00987394">
        <w:rPr>
          <w:rFonts w:ascii="Verdana" w:hAnsi="Verdana" w:cs="Times New Roman"/>
          <w:sz w:val="20"/>
          <w:szCs w:val="20"/>
        </w:rPr>
        <w:t xml:space="preserve">. (1907). </w:t>
      </w:r>
      <w:r w:rsidRPr="00987394">
        <w:rPr>
          <w:rFonts w:ascii="Verdana" w:hAnsi="Verdana" w:cs="Times New Roman"/>
          <w:i/>
          <w:iCs/>
          <w:sz w:val="20"/>
          <w:szCs w:val="20"/>
        </w:rPr>
        <w:t>School days</w:t>
      </w:r>
      <w:r w:rsidRPr="00987394">
        <w:rPr>
          <w:rFonts w:ascii="Verdana" w:hAnsi="Verdana" w:cs="Times New Roman"/>
          <w:sz w:val="20"/>
          <w:szCs w:val="20"/>
        </w:rPr>
        <w:t xml:space="preserve">. Gus Edwards Music Pub. Co. </w:t>
      </w:r>
      <w:hyperlink r:id="rId18" w:history="1">
        <w:r w:rsidR="007017C8" w:rsidRPr="00510B95">
          <w:rPr>
            <w:rStyle w:val="Hyperlink"/>
            <w:rFonts w:ascii="Verdana" w:hAnsi="Verdana" w:cs="Times New Roman"/>
            <w:sz w:val="20"/>
            <w:szCs w:val="20"/>
          </w:rPr>
          <w:t xml:space="preserve">https://www.loc.gov/item/ihas.100005129 </w:t>
        </w:r>
      </w:hyperlink>
      <w:r w:rsidR="00411DC5" w:rsidRPr="00987394">
        <w:rPr>
          <w:rStyle w:val="Hyperlink"/>
          <w:rFonts w:ascii="Verdana" w:hAnsi="Verdana" w:cs="Times New Roman"/>
          <w:color w:val="auto"/>
          <w:sz w:val="20"/>
          <w:szCs w:val="20"/>
        </w:rPr>
        <w:t xml:space="preserve"> </w:t>
      </w:r>
    </w:p>
    <w:p w14:paraId="71AF9822" w14:textId="77777777" w:rsidR="000B24D4" w:rsidRDefault="000B24D4" w:rsidP="000B24D4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14:paraId="64C91532" w14:textId="5E3C1237" w:rsidR="00D933E6" w:rsidRPr="00987394" w:rsidRDefault="00D933E6" w:rsidP="000B24D4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987394">
        <w:rPr>
          <w:rFonts w:ascii="Verdana" w:hAnsi="Verdana"/>
          <w:sz w:val="20"/>
          <w:szCs w:val="20"/>
        </w:rPr>
        <w:t>Community College Research Center</w:t>
      </w:r>
      <w:r w:rsidR="007615E7" w:rsidRPr="00987394">
        <w:rPr>
          <w:rFonts w:ascii="Verdana" w:hAnsi="Verdana"/>
          <w:sz w:val="20"/>
          <w:szCs w:val="20"/>
        </w:rPr>
        <w:t>. (2021</w:t>
      </w:r>
      <w:r w:rsidR="004F036C">
        <w:rPr>
          <w:rFonts w:ascii="Verdana" w:hAnsi="Verdana"/>
          <w:sz w:val="20"/>
          <w:szCs w:val="20"/>
        </w:rPr>
        <w:t>, April</w:t>
      </w:r>
      <w:r w:rsidR="007615E7" w:rsidRPr="00987394">
        <w:rPr>
          <w:rFonts w:ascii="Verdana" w:hAnsi="Verdana"/>
          <w:sz w:val="20"/>
          <w:szCs w:val="20"/>
        </w:rPr>
        <w:t xml:space="preserve">). </w:t>
      </w:r>
      <w:r w:rsidRPr="00987394">
        <w:rPr>
          <w:rFonts w:ascii="Verdana" w:hAnsi="Verdana"/>
          <w:i/>
          <w:iCs/>
          <w:sz w:val="20"/>
          <w:szCs w:val="20"/>
        </w:rPr>
        <w:t xml:space="preserve">Investing in </w:t>
      </w:r>
      <w:r w:rsidR="007615E7" w:rsidRPr="00987394">
        <w:rPr>
          <w:rFonts w:ascii="Verdana" w:hAnsi="Verdana"/>
          <w:i/>
          <w:iCs/>
          <w:sz w:val="20"/>
          <w:szCs w:val="20"/>
        </w:rPr>
        <w:t>s</w:t>
      </w:r>
      <w:r w:rsidRPr="00987394">
        <w:rPr>
          <w:rFonts w:ascii="Verdana" w:hAnsi="Verdana"/>
          <w:i/>
          <w:iCs/>
          <w:sz w:val="20"/>
          <w:szCs w:val="20"/>
        </w:rPr>
        <w:t xml:space="preserve">tudent </w:t>
      </w:r>
      <w:r w:rsidR="007615E7" w:rsidRPr="00987394">
        <w:rPr>
          <w:rFonts w:ascii="Verdana" w:hAnsi="Verdana"/>
          <w:i/>
          <w:iCs/>
          <w:sz w:val="20"/>
          <w:szCs w:val="20"/>
        </w:rPr>
        <w:t>s</w:t>
      </w:r>
      <w:r w:rsidRPr="00987394">
        <w:rPr>
          <w:rFonts w:ascii="Verdana" w:hAnsi="Verdana"/>
          <w:i/>
          <w:iCs/>
          <w:sz w:val="20"/>
          <w:szCs w:val="20"/>
        </w:rPr>
        <w:t xml:space="preserve">uccess at </w:t>
      </w:r>
      <w:r w:rsidR="007615E7" w:rsidRPr="00987394">
        <w:rPr>
          <w:rFonts w:ascii="Verdana" w:hAnsi="Verdana"/>
          <w:i/>
          <w:iCs/>
          <w:sz w:val="20"/>
          <w:szCs w:val="20"/>
        </w:rPr>
        <w:t>c</w:t>
      </w:r>
      <w:r w:rsidRPr="00987394">
        <w:rPr>
          <w:rFonts w:ascii="Verdana" w:hAnsi="Verdana"/>
          <w:i/>
          <w:iCs/>
          <w:sz w:val="20"/>
          <w:szCs w:val="20"/>
        </w:rPr>
        <w:t xml:space="preserve">ommunity </w:t>
      </w:r>
      <w:r w:rsidR="007615E7" w:rsidRPr="00987394">
        <w:rPr>
          <w:rFonts w:ascii="Verdana" w:hAnsi="Verdana"/>
          <w:i/>
          <w:iCs/>
          <w:sz w:val="20"/>
          <w:szCs w:val="20"/>
        </w:rPr>
        <w:t>c</w:t>
      </w:r>
      <w:r w:rsidRPr="00987394">
        <w:rPr>
          <w:rFonts w:ascii="Verdana" w:hAnsi="Verdana"/>
          <w:i/>
          <w:iCs/>
          <w:sz w:val="20"/>
          <w:szCs w:val="20"/>
        </w:rPr>
        <w:t>olleges</w:t>
      </w:r>
      <w:r w:rsidR="007615E7" w:rsidRPr="00987394">
        <w:rPr>
          <w:rFonts w:ascii="Verdana" w:hAnsi="Verdana"/>
          <w:i/>
          <w:iCs/>
          <w:sz w:val="20"/>
          <w:szCs w:val="20"/>
        </w:rPr>
        <w:t>: Lessons from research on guided pathways</w:t>
      </w:r>
      <w:r w:rsidR="007615E7" w:rsidRPr="00987394">
        <w:rPr>
          <w:rFonts w:ascii="Verdana" w:hAnsi="Verdana"/>
          <w:sz w:val="20"/>
          <w:szCs w:val="20"/>
        </w:rPr>
        <w:t>. Federal Policy Brief. Teachers College, Columbia University.</w:t>
      </w:r>
      <w:r w:rsidR="009E6A2D" w:rsidRPr="00987394">
        <w:rPr>
          <w:rFonts w:ascii="Verdana" w:hAnsi="Verdana"/>
          <w:sz w:val="20"/>
          <w:szCs w:val="20"/>
        </w:rPr>
        <w:t xml:space="preserve"> </w:t>
      </w:r>
      <w:hyperlink r:id="rId19" w:history="1">
        <w:r w:rsidR="004F036C" w:rsidRPr="009D0506">
          <w:rPr>
            <w:rStyle w:val="Hyperlink"/>
            <w:rFonts w:ascii="Verdana" w:hAnsi="Verdana"/>
            <w:sz w:val="20"/>
            <w:szCs w:val="20"/>
          </w:rPr>
          <w:t>https://ccrc.tc.columbia.edu/media/k2/attachments/policy-brief-guided-pathways.pdf</w:t>
        </w:r>
      </w:hyperlink>
      <w:r w:rsidR="004F036C">
        <w:rPr>
          <w:rFonts w:ascii="Verdana" w:hAnsi="Verdana"/>
          <w:sz w:val="20"/>
          <w:szCs w:val="20"/>
        </w:rPr>
        <w:t xml:space="preserve"> </w:t>
      </w:r>
    </w:p>
    <w:p w14:paraId="6EC2A4AD" w14:textId="77777777" w:rsidR="000B24D4" w:rsidRDefault="000B24D4" w:rsidP="000B24D4">
      <w:pPr>
        <w:autoSpaceDE w:val="0"/>
        <w:autoSpaceDN w:val="0"/>
        <w:adjustRightInd w:val="0"/>
        <w:spacing w:after="0" w:line="240" w:lineRule="auto"/>
        <w:rPr>
          <w:rStyle w:val="Hyperlink"/>
          <w:rFonts w:ascii="Verdana" w:hAnsi="Verdana" w:cs="Times New Roman"/>
          <w:color w:val="auto"/>
          <w:sz w:val="20"/>
          <w:szCs w:val="20"/>
          <w:u w:val="none"/>
        </w:rPr>
      </w:pPr>
    </w:p>
    <w:p w14:paraId="3F364447" w14:textId="18AE9601" w:rsidR="00411DC5" w:rsidRPr="00987394" w:rsidRDefault="00411DC5" w:rsidP="000B24D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987394">
        <w:rPr>
          <w:rStyle w:val="Hyperlink"/>
          <w:rFonts w:ascii="Verdana" w:hAnsi="Verdana" w:cs="Times New Roman"/>
          <w:color w:val="auto"/>
          <w:sz w:val="20"/>
          <w:szCs w:val="20"/>
          <w:u w:val="none"/>
        </w:rPr>
        <w:t>Florida College Access Network</w:t>
      </w:r>
      <w:r w:rsidR="004F036C">
        <w:rPr>
          <w:rStyle w:val="Hyperlink"/>
          <w:rFonts w:ascii="Verdana" w:hAnsi="Verdana" w:cs="Times New Roman"/>
          <w:color w:val="auto"/>
          <w:sz w:val="20"/>
          <w:szCs w:val="20"/>
          <w:u w:val="none"/>
        </w:rPr>
        <w:t>.</w:t>
      </w:r>
      <w:r w:rsidRPr="00987394">
        <w:rPr>
          <w:rStyle w:val="Hyperlink"/>
          <w:rFonts w:ascii="Verdana" w:hAnsi="Verdana" w:cs="Times New Roman"/>
          <w:color w:val="auto"/>
          <w:sz w:val="20"/>
          <w:szCs w:val="20"/>
          <w:u w:val="none"/>
        </w:rPr>
        <w:t xml:space="preserve"> </w:t>
      </w:r>
      <w:r w:rsidR="004F036C">
        <w:rPr>
          <w:rStyle w:val="Hyperlink"/>
          <w:rFonts w:ascii="Verdana" w:hAnsi="Verdana" w:cs="Times New Roman"/>
          <w:color w:val="auto"/>
          <w:sz w:val="20"/>
          <w:szCs w:val="20"/>
          <w:u w:val="none"/>
        </w:rPr>
        <w:t>(</w:t>
      </w:r>
      <w:r w:rsidRPr="00987394">
        <w:rPr>
          <w:rStyle w:val="Hyperlink"/>
          <w:rFonts w:ascii="Verdana" w:hAnsi="Verdana" w:cs="Times New Roman"/>
          <w:color w:val="auto"/>
          <w:sz w:val="20"/>
          <w:szCs w:val="20"/>
          <w:u w:val="none"/>
        </w:rPr>
        <w:t>2013</w:t>
      </w:r>
      <w:r w:rsidR="004F036C">
        <w:rPr>
          <w:rStyle w:val="Hyperlink"/>
          <w:rFonts w:ascii="Verdana" w:hAnsi="Verdana" w:cs="Times New Roman"/>
          <w:color w:val="auto"/>
          <w:sz w:val="20"/>
          <w:szCs w:val="20"/>
          <w:u w:val="none"/>
        </w:rPr>
        <w:t>, October 16</w:t>
      </w:r>
      <w:r w:rsidRPr="00987394">
        <w:rPr>
          <w:rStyle w:val="Hyperlink"/>
          <w:rFonts w:ascii="Verdana" w:hAnsi="Verdana" w:cs="Times New Roman"/>
          <w:color w:val="auto"/>
          <w:sz w:val="20"/>
          <w:szCs w:val="20"/>
          <w:u w:val="none"/>
        </w:rPr>
        <w:t>)</w:t>
      </w:r>
      <w:r w:rsidR="004F036C">
        <w:rPr>
          <w:rStyle w:val="Hyperlink"/>
          <w:rFonts w:ascii="Verdana" w:hAnsi="Verdana" w:cs="Times New Roman"/>
          <w:color w:val="auto"/>
          <w:sz w:val="20"/>
          <w:szCs w:val="20"/>
          <w:u w:val="none"/>
        </w:rPr>
        <w:t xml:space="preserve">. </w:t>
      </w:r>
      <w:r w:rsidR="004F036C" w:rsidRPr="004F036C">
        <w:rPr>
          <w:rStyle w:val="Hyperlink"/>
          <w:rFonts w:ascii="Verdana" w:hAnsi="Verdana" w:cs="Times New Roman"/>
          <w:i/>
          <w:iCs/>
          <w:color w:val="auto"/>
          <w:sz w:val="20"/>
          <w:szCs w:val="20"/>
          <w:u w:val="none"/>
        </w:rPr>
        <w:t>Meta-major: College access word of the week</w:t>
      </w:r>
      <w:r w:rsidR="004F036C">
        <w:rPr>
          <w:rStyle w:val="Hyperlink"/>
          <w:rFonts w:ascii="Verdana" w:hAnsi="Verdana" w:cs="Times New Roman"/>
          <w:color w:val="auto"/>
          <w:sz w:val="20"/>
          <w:szCs w:val="20"/>
          <w:u w:val="none"/>
        </w:rPr>
        <w:t>.</w:t>
      </w:r>
      <w:r w:rsidRPr="00987394">
        <w:rPr>
          <w:rStyle w:val="Hyperlink"/>
          <w:rFonts w:ascii="Verdana" w:hAnsi="Verdana" w:cs="Times New Roman"/>
          <w:color w:val="auto"/>
          <w:sz w:val="20"/>
          <w:szCs w:val="20"/>
          <w:u w:val="none"/>
        </w:rPr>
        <w:t xml:space="preserve"> </w:t>
      </w:r>
      <w:hyperlink r:id="rId20" w:history="1">
        <w:r w:rsidR="007017C8" w:rsidRPr="00510B95">
          <w:rPr>
            <w:rStyle w:val="Hyperlink"/>
            <w:rFonts w:ascii="Verdana" w:hAnsi="Verdana" w:cs="Times New Roman"/>
            <w:sz w:val="20"/>
            <w:szCs w:val="20"/>
          </w:rPr>
          <w:t xml:space="preserve">https://floridacollegeaccess.org/news/meta-major-college-access-word-of-the-week </w:t>
        </w:r>
      </w:hyperlink>
      <w:r w:rsidRPr="00987394">
        <w:rPr>
          <w:rStyle w:val="Hyperlink"/>
          <w:rFonts w:ascii="Verdana" w:hAnsi="Verdana" w:cs="Times New Roman"/>
          <w:color w:val="auto"/>
          <w:sz w:val="20"/>
          <w:szCs w:val="20"/>
          <w:u w:val="none"/>
        </w:rPr>
        <w:t xml:space="preserve"> </w:t>
      </w:r>
    </w:p>
    <w:p w14:paraId="41484F82" w14:textId="77777777" w:rsidR="000B24D4" w:rsidRDefault="000B24D4" w:rsidP="000B24D4">
      <w:pPr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29C69ACD" w14:textId="66BE26D0" w:rsidR="00C71371" w:rsidRPr="00987394" w:rsidRDefault="00A844F3" w:rsidP="000B24D4">
      <w:pPr>
        <w:spacing w:after="0" w:line="240" w:lineRule="auto"/>
        <w:rPr>
          <w:rStyle w:val="Hyperlink"/>
          <w:rFonts w:ascii="Verdana" w:hAnsi="Verdana" w:cs="Times New Roman"/>
          <w:color w:val="auto"/>
          <w:sz w:val="20"/>
          <w:szCs w:val="20"/>
          <w:shd w:val="clear" w:color="auto" w:fill="FFFFFF"/>
        </w:rPr>
      </w:pPr>
      <w:r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Harvard </w:t>
      </w:r>
      <w:r w:rsidR="00C71371" w:rsidRPr="00987394">
        <w:rPr>
          <w:rFonts w:ascii="Verdana" w:hAnsi="Verdana" w:cs="Times New Roman"/>
          <w:sz w:val="20"/>
          <w:szCs w:val="20"/>
          <w:shd w:val="clear" w:color="auto" w:fill="FFFFFF"/>
        </w:rPr>
        <w:t>Library. (n.d.)</w:t>
      </w:r>
      <w:r w:rsidR="004F036C">
        <w:rPr>
          <w:rFonts w:ascii="Verdana" w:hAnsi="Verdana" w:cs="Times New Roman"/>
          <w:sz w:val="20"/>
          <w:szCs w:val="20"/>
          <w:shd w:val="clear" w:color="auto" w:fill="FFFFFF"/>
        </w:rPr>
        <w:t>.</w:t>
      </w:r>
      <w:r w:rsidR="00C71371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C71371"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>Harvard in the 17</w:t>
      </w:r>
      <w:r w:rsidR="00C71371"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  <w:vertAlign w:val="superscript"/>
        </w:rPr>
        <w:t>th</w:t>
      </w:r>
      <w:r w:rsidR="00C71371"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 xml:space="preserve"> and 18</w:t>
      </w:r>
      <w:r w:rsidR="00C71371"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  <w:vertAlign w:val="superscript"/>
        </w:rPr>
        <w:t>th</w:t>
      </w:r>
      <w:r w:rsidR="00C71371" w:rsidRPr="00987394">
        <w:rPr>
          <w:rFonts w:ascii="Verdana" w:hAnsi="Verdana" w:cs="Times New Roman"/>
          <w:i/>
          <w:iCs/>
          <w:sz w:val="20"/>
          <w:szCs w:val="20"/>
          <w:shd w:val="clear" w:color="auto" w:fill="FFFFFF"/>
        </w:rPr>
        <w:t xml:space="preserve"> centuries</w:t>
      </w:r>
      <w:r w:rsidR="00C71371" w:rsidRPr="00987394">
        <w:rPr>
          <w:rFonts w:ascii="Verdana" w:hAnsi="Verdana" w:cs="Times New Roman"/>
          <w:sz w:val="20"/>
          <w:szCs w:val="20"/>
          <w:shd w:val="clear" w:color="auto" w:fill="FFFFFF"/>
        </w:rPr>
        <w:t>. Research Guides</w:t>
      </w:r>
      <w:r w:rsidR="00293A22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="00C71371" w:rsidRPr="00987394">
        <w:rPr>
          <w:rFonts w:ascii="Verdana" w:hAnsi="Verdana" w:cs="Times New Roman"/>
          <w:sz w:val="20"/>
          <w:szCs w:val="20"/>
          <w:shd w:val="clear" w:color="auto" w:fill="FFFFFF"/>
        </w:rPr>
        <w:t xml:space="preserve">Harvard University Archives. </w:t>
      </w:r>
    </w:p>
    <w:p w14:paraId="59E3CA8F" w14:textId="77777777" w:rsidR="000B24D4" w:rsidRDefault="000B24D4" w:rsidP="000B24D4">
      <w:pPr>
        <w:spacing w:after="0" w:line="240" w:lineRule="auto"/>
        <w:textAlignment w:val="baseline"/>
        <w:rPr>
          <w:rFonts w:ascii="Verdana" w:eastAsia="Times New Roman" w:hAnsi="Verdana" w:cs="Times New Roman"/>
          <w:sz w:val="20"/>
          <w:szCs w:val="20"/>
        </w:rPr>
      </w:pPr>
    </w:p>
    <w:p w14:paraId="7C953A77" w14:textId="0099FD09" w:rsidR="00476901" w:rsidRPr="00987394" w:rsidRDefault="0022077A" w:rsidP="000B24D4">
      <w:pPr>
        <w:spacing w:after="0" w:line="240" w:lineRule="auto"/>
        <w:textAlignment w:val="baseline"/>
        <w:rPr>
          <w:rFonts w:ascii="Verdana" w:eastAsia="Times New Roman" w:hAnsi="Verdana" w:cs="Times New Roman"/>
          <w:sz w:val="20"/>
          <w:szCs w:val="20"/>
        </w:rPr>
      </w:pPr>
      <w:r w:rsidRPr="00987394">
        <w:rPr>
          <w:rFonts w:ascii="Verdana" w:eastAsia="Times New Roman" w:hAnsi="Verdana" w:cs="Times New Roman"/>
          <w:sz w:val="20"/>
          <w:szCs w:val="20"/>
        </w:rPr>
        <w:t>J</w:t>
      </w:r>
      <w:r w:rsidR="00476901" w:rsidRPr="00987394">
        <w:rPr>
          <w:rFonts w:ascii="Verdana" w:eastAsia="Times New Roman" w:hAnsi="Verdana" w:cs="Times New Roman"/>
          <w:sz w:val="20"/>
          <w:szCs w:val="20"/>
        </w:rPr>
        <w:t>ohnson, B. L. (1952)</w:t>
      </w:r>
      <w:r w:rsidR="00A35D47">
        <w:rPr>
          <w:rFonts w:ascii="Verdana" w:eastAsia="Times New Roman" w:hAnsi="Verdana" w:cs="Times New Roman"/>
          <w:sz w:val="20"/>
          <w:szCs w:val="20"/>
        </w:rPr>
        <w:t>.</w:t>
      </w:r>
      <w:r w:rsidR="00476901" w:rsidRPr="00987394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476901" w:rsidRPr="00987394">
        <w:rPr>
          <w:rFonts w:ascii="Verdana" w:eastAsia="Times New Roman" w:hAnsi="Verdana" w:cs="Times New Roman"/>
          <w:i/>
          <w:iCs/>
          <w:sz w:val="20"/>
          <w:szCs w:val="20"/>
        </w:rPr>
        <w:t xml:space="preserve">General education in action: A </w:t>
      </w:r>
      <w:r w:rsidR="007565EC" w:rsidRPr="00987394">
        <w:rPr>
          <w:rFonts w:ascii="Verdana" w:eastAsia="Times New Roman" w:hAnsi="Verdana" w:cs="Times New Roman"/>
          <w:i/>
          <w:iCs/>
          <w:sz w:val="20"/>
          <w:szCs w:val="20"/>
        </w:rPr>
        <w:t>r</w:t>
      </w:r>
      <w:r w:rsidR="00476901" w:rsidRPr="00987394">
        <w:rPr>
          <w:rFonts w:ascii="Verdana" w:eastAsia="Times New Roman" w:hAnsi="Verdana" w:cs="Times New Roman"/>
          <w:i/>
          <w:iCs/>
          <w:sz w:val="20"/>
          <w:szCs w:val="20"/>
        </w:rPr>
        <w:t xml:space="preserve">eport </w:t>
      </w:r>
      <w:proofErr w:type="gramStart"/>
      <w:r w:rsidR="00476901" w:rsidRPr="00987394">
        <w:rPr>
          <w:rFonts w:ascii="Verdana" w:eastAsia="Times New Roman" w:hAnsi="Verdana" w:cs="Times New Roman"/>
          <w:i/>
          <w:iCs/>
          <w:sz w:val="20"/>
          <w:szCs w:val="20"/>
        </w:rPr>
        <w:t>of</w:t>
      </w:r>
      <w:proofErr w:type="gramEnd"/>
      <w:r w:rsidR="00476901" w:rsidRPr="00987394">
        <w:rPr>
          <w:rFonts w:ascii="Verdana" w:eastAsia="Times New Roman" w:hAnsi="Verdana" w:cs="Times New Roman"/>
          <w:i/>
          <w:iCs/>
          <w:sz w:val="20"/>
          <w:szCs w:val="20"/>
        </w:rPr>
        <w:t xml:space="preserve"> the California </w:t>
      </w:r>
      <w:r w:rsidR="00436108" w:rsidRPr="00987394">
        <w:rPr>
          <w:rFonts w:ascii="Verdana" w:eastAsia="Times New Roman" w:hAnsi="Verdana" w:cs="Times New Roman"/>
          <w:i/>
          <w:iCs/>
          <w:sz w:val="20"/>
          <w:szCs w:val="20"/>
        </w:rPr>
        <w:t>s</w:t>
      </w:r>
      <w:r w:rsidR="00476901" w:rsidRPr="00987394">
        <w:rPr>
          <w:rFonts w:ascii="Verdana" w:eastAsia="Times New Roman" w:hAnsi="Verdana" w:cs="Times New Roman"/>
          <w:i/>
          <w:iCs/>
          <w:sz w:val="20"/>
          <w:szCs w:val="20"/>
        </w:rPr>
        <w:t xml:space="preserve">tudy of </w:t>
      </w:r>
      <w:r w:rsidR="00436108" w:rsidRPr="00987394">
        <w:rPr>
          <w:rFonts w:ascii="Verdana" w:eastAsia="Times New Roman" w:hAnsi="Verdana" w:cs="Times New Roman"/>
          <w:i/>
          <w:iCs/>
          <w:sz w:val="20"/>
          <w:szCs w:val="20"/>
        </w:rPr>
        <w:t>g</w:t>
      </w:r>
      <w:r w:rsidR="00476901" w:rsidRPr="00987394">
        <w:rPr>
          <w:rFonts w:ascii="Verdana" w:eastAsia="Times New Roman" w:hAnsi="Verdana" w:cs="Times New Roman"/>
          <w:i/>
          <w:iCs/>
          <w:sz w:val="20"/>
          <w:szCs w:val="20"/>
        </w:rPr>
        <w:t xml:space="preserve">eneral </w:t>
      </w:r>
      <w:r w:rsidR="00436108" w:rsidRPr="00987394">
        <w:rPr>
          <w:rFonts w:ascii="Verdana" w:eastAsia="Times New Roman" w:hAnsi="Verdana" w:cs="Times New Roman"/>
          <w:i/>
          <w:iCs/>
          <w:sz w:val="20"/>
          <w:szCs w:val="20"/>
        </w:rPr>
        <w:t>e</w:t>
      </w:r>
      <w:r w:rsidR="00476901" w:rsidRPr="00987394">
        <w:rPr>
          <w:rFonts w:ascii="Verdana" w:eastAsia="Times New Roman" w:hAnsi="Verdana" w:cs="Times New Roman"/>
          <w:i/>
          <w:iCs/>
          <w:sz w:val="20"/>
          <w:szCs w:val="20"/>
        </w:rPr>
        <w:t xml:space="preserve">ducation in the </w:t>
      </w:r>
      <w:r w:rsidR="00436108" w:rsidRPr="00987394">
        <w:rPr>
          <w:rFonts w:ascii="Verdana" w:eastAsia="Times New Roman" w:hAnsi="Verdana" w:cs="Times New Roman"/>
          <w:i/>
          <w:iCs/>
          <w:sz w:val="20"/>
          <w:szCs w:val="20"/>
        </w:rPr>
        <w:t>j</w:t>
      </w:r>
      <w:r w:rsidR="00476901" w:rsidRPr="00987394">
        <w:rPr>
          <w:rFonts w:ascii="Verdana" w:eastAsia="Times New Roman" w:hAnsi="Verdana" w:cs="Times New Roman"/>
          <w:i/>
          <w:iCs/>
          <w:sz w:val="20"/>
          <w:szCs w:val="20"/>
        </w:rPr>
        <w:t xml:space="preserve">unior </w:t>
      </w:r>
      <w:r w:rsidR="00436108" w:rsidRPr="00987394">
        <w:rPr>
          <w:rFonts w:ascii="Verdana" w:eastAsia="Times New Roman" w:hAnsi="Verdana" w:cs="Times New Roman"/>
          <w:i/>
          <w:iCs/>
          <w:sz w:val="20"/>
          <w:szCs w:val="20"/>
        </w:rPr>
        <w:t>c</w:t>
      </w:r>
      <w:r w:rsidR="00476901" w:rsidRPr="00987394">
        <w:rPr>
          <w:rFonts w:ascii="Verdana" w:eastAsia="Times New Roman" w:hAnsi="Verdana" w:cs="Times New Roman"/>
          <w:i/>
          <w:iCs/>
          <w:sz w:val="20"/>
          <w:szCs w:val="20"/>
        </w:rPr>
        <w:t>ollege</w:t>
      </w:r>
      <w:r w:rsidR="00476901" w:rsidRPr="00987394">
        <w:rPr>
          <w:rFonts w:ascii="Verdana" w:eastAsia="Times New Roman" w:hAnsi="Verdana" w:cs="Times New Roman"/>
          <w:sz w:val="20"/>
          <w:szCs w:val="20"/>
        </w:rPr>
        <w:t>. American Council on Education.</w:t>
      </w:r>
    </w:p>
    <w:p w14:paraId="04FEC6B8" w14:textId="77777777" w:rsidR="000B24D4" w:rsidRDefault="000B24D4" w:rsidP="000B24D4">
      <w:pPr>
        <w:spacing w:after="0" w:line="240" w:lineRule="auto"/>
        <w:textAlignment w:val="baseline"/>
        <w:rPr>
          <w:rFonts w:ascii="Verdana" w:eastAsia="Times New Roman" w:hAnsi="Verdana" w:cs="Times New Roman"/>
          <w:sz w:val="20"/>
          <w:szCs w:val="20"/>
        </w:rPr>
      </w:pPr>
    </w:p>
    <w:p w14:paraId="68785265" w14:textId="12DEB628" w:rsidR="00476901" w:rsidRPr="00987394" w:rsidRDefault="00476901" w:rsidP="000B24D4">
      <w:pPr>
        <w:spacing w:after="0" w:line="240" w:lineRule="auto"/>
        <w:textAlignment w:val="baseline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987394">
        <w:rPr>
          <w:rFonts w:ascii="Verdana" w:eastAsia="Times New Roman" w:hAnsi="Verdana" w:cs="Times New Roman"/>
          <w:sz w:val="20"/>
          <w:szCs w:val="20"/>
        </w:rPr>
        <w:t xml:space="preserve">Kravitz, </w:t>
      </w:r>
      <w:r w:rsidR="00436108" w:rsidRPr="00987394">
        <w:rPr>
          <w:rFonts w:ascii="Verdana" w:eastAsia="Times New Roman" w:hAnsi="Verdana" w:cs="Times New Roman"/>
          <w:sz w:val="20"/>
          <w:szCs w:val="20"/>
        </w:rPr>
        <w:t xml:space="preserve">A. F. </w:t>
      </w:r>
      <w:r w:rsidR="00052C53" w:rsidRPr="00987394">
        <w:rPr>
          <w:rFonts w:ascii="Verdana" w:eastAsia="Times New Roman" w:hAnsi="Verdana" w:cs="Times New Roman"/>
          <w:sz w:val="20"/>
          <w:szCs w:val="20"/>
        </w:rPr>
        <w:t>(1994). </w:t>
      </w:r>
      <w:r w:rsidRPr="00510B95">
        <w:rPr>
          <w:rFonts w:ascii="Verdana" w:eastAsia="Times New Roman" w:hAnsi="Verdana" w:cs="Times New Roman"/>
          <w:i/>
          <w:iCs/>
          <w:sz w:val="20"/>
          <w:szCs w:val="20"/>
        </w:rPr>
        <w:t xml:space="preserve">The Harvard </w:t>
      </w:r>
      <w:r w:rsidR="00F75C46" w:rsidRPr="00510B95">
        <w:rPr>
          <w:rFonts w:ascii="Verdana" w:eastAsia="Times New Roman" w:hAnsi="Verdana" w:cs="Times New Roman"/>
          <w:i/>
          <w:iCs/>
          <w:sz w:val="20"/>
          <w:szCs w:val="20"/>
        </w:rPr>
        <w:t>r</w:t>
      </w:r>
      <w:r w:rsidRPr="00510B95">
        <w:rPr>
          <w:rFonts w:ascii="Verdana" w:eastAsia="Times New Roman" w:hAnsi="Verdana" w:cs="Times New Roman"/>
          <w:i/>
          <w:iCs/>
          <w:sz w:val="20"/>
          <w:szCs w:val="20"/>
        </w:rPr>
        <w:t>eport of 1945: An historical ethnography</w:t>
      </w:r>
      <w:r w:rsidR="00052C53" w:rsidRPr="00987394">
        <w:rPr>
          <w:rFonts w:ascii="Verdana" w:eastAsia="Times New Roman" w:hAnsi="Verdana" w:cs="Times New Roman"/>
          <w:sz w:val="20"/>
          <w:szCs w:val="20"/>
        </w:rPr>
        <w:t xml:space="preserve"> [Unpublished doctoral dissertation]. University of Pennsylvania. </w:t>
      </w:r>
    </w:p>
    <w:p w14:paraId="32DA0E01" w14:textId="77777777" w:rsidR="000B24D4" w:rsidRDefault="000B24D4" w:rsidP="000B24D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05EABCAC" w14:textId="4C8E65D5" w:rsidR="00074AAD" w:rsidRPr="00987394" w:rsidRDefault="00074AAD" w:rsidP="000B24D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987394">
        <w:rPr>
          <w:rFonts w:ascii="Verdana" w:hAnsi="Verdana" w:cs="Times New Roman"/>
          <w:sz w:val="20"/>
          <w:szCs w:val="20"/>
        </w:rPr>
        <w:t xml:space="preserve">Mintz, S. (2020, June 23). The general education curriculum we need. </w:t>
      </w:r>
      <w:r w:rsidRPr="00987394">
        <w:rPr>
          <w:rFonts w:ascii="Verdana" w:hAnsi="Verdana" w:cs="Times New Roman"/>
          <w:i/>
          <w:iCs/>
          <w:sz w:val="20"/>
          <w:szCs w:val="20"/>
        </w:rPr>
        <w:t>Inside Higher Ed.</w:t>
      </w:r>
      <w:r w:rsidRPr="00987394">
        <w:rPr>
          <w:rFonts w:ascii="Verdana" w:hAnsi="Verdana" w:cs="Times New Roman"/>
          <w:sz w:val="20"/>
          <w:szCs w:val="20"/>
        </w:rPr>
        <w:t xml:space="preserve"> </w:t>
      </w:r>
      <w:hyperlink r:id="rId21" w:history="1">
        <w:r w:rsidR="004F036C" w:rsidRPr="009D0506">
          <w:rPr>
            <w:rStyle w:val="Hyperlink"/>
            <w:rFonts w:ascii="Verdana" w:hAnsi="Verdana" w:cs="Times New Roman"/>
            <w:sz w:val="20"/>
            <w:szCs w:val="20"/>
          </w:rPr>
          <w:t>https://www.insidehighered.com/blogs/higher-ed-gamma/general-education-curriculum-we-need</w:t>
        </w:r>
      </w:hyperlink>
      <w:r w:rsidR="004F036C">
        <w:rPr>
          <w:rFonts w:ascii="Verdana" w:hAnsi="Verdana" w:cs="Times New Roman"/>
          <w:sz w:val="20"/>
          <w:szCs w:val="20"/>
        </w:rPr>
        <w:t xml:space="preserve"> </w:t>
      </w:r>
    </w:p>
    <w:p w14:paraId="35649C93" w14:textId="77777777" w:rsidR="000B24D4" w:rsidRPr="00195D5D" w:rsidRDefault="000B24D4" w:rsidP="000B24D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16456BF0" w14:textId="2BB19AD0" w:rsidR="00195D5D" w:rsidRDefault="00195D5D" w:rsidP="00195D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2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O’Banion, T., &amp; Miles, C. (2021). </w:t>
      </w:r>
      <w:r w:rsidRPr="00510B95">
        <w:rPr>
          <w:rFonts w:ascii="Verdana" w:eastAsia="Times New Roman" w:hAnsi="Verdana" w:cs="Times New Roman"/>
          <w:sz w:val="20"/>
          <w:szCs w:val="20"/>
        </w:rPr>
        <w:t xml:space="preserve">Understanding </w:t>
      </w:r>
      <w:r w:rsidR="00E7745C" w:rsidRPr="00E7745C">
        <w:rPr>
          <w:rFonts w:ascii="Verdana" w:eastAsia="Times New Roman" w:hAnsi="Verdana" w:cs="Times New Roman"/>
          <w:sz w:val="20"/>
          <w:szCs w:val="20"/>
        </w:rPr>
        <w:t>general education in the community college</w:t>
      </w:r>
      <w:r w:rsidRPr="00510B95">
        <w:rPr>
          <w:rFonts w:ascii="Verdana" w:eastAsia="Times New Roman" w:hAnsi="Verdana" w:cs="Times New Roman"/>
          <w:sz w:val="20"/>
          <w:szCs w:val="20"/>
        </w:rPr>
        <w:t xml:space="preserve">: A </w:t>
      </w:r>
      <w:r w:rsidR="00E7745C">
        <w:rPr>
          <w:rFonts w:ascii="Verdana" w:eastAsia="Times New Roman" w:hAnsi="Verdana" w:cs="Times New Roman"/>
          <w:sz w:val="20"/>
          <w:szCs w:val="20"/>
        </w:rPr>
        <w:t>n</w:t>
      </w:r>
      <w:r w:rsidRPr="00510B95">
        <w:rPr>
          <w:rFonts w:ascii="Verdana" w:eastAsia="Times New Roman" w:hAnsi="Verdana" w:cs="Times New Roman"/>
          <w:sz w:val="20"/>
          <w:szCs w:val="20"/>
        </w:rPr>
        <w:t xml:space="preserve">ational </w:t>
      </w:r>
      <w:r w:rsidR="00E7745C">
        <w:rPr>
          <w:rFonts w:ascii="Verdana" w:eastAsia="Times New Roman" w:hAnsi="Verdana" w:cs="Times New Roman"/>
          <w:sz w:val="20"/>
          <w:szCs w:val="20"/>
        </w:rPr>
        <w:t>s</w:t>
      </w:r>
      <w:r w:rsidRPr="00510B95">
        <w:rPr>
          <w:rFonts w:ascii="Verdana" w:eastAsia="Times New Roman" w:hAnsi="Verdana" w:cs="Times New Roman"/>
          <w:sz w:val="20"/>
          <w:szCs w:val="20"/>
        </w:rPr>
        <w:t>tudy</w:t>
      </w:r>
      <w:r>
        <w:rPr>
          <w:rFonts w:ascii="Verdana" w:eastAsia="Times New Roman" w:hAnsi="Verdana" w:cs="Times New Roman"/>
          <w:sz w:val="20"/>
          <w:szCs w:val="20"/>
        </w:rPr>
        <w:t xml:space="preserve">. </w:t>
      </w:r>
      <w:r w:rsidRPr="00510B95">
        <w:rPr>
          <w:rFonts w:ascii="Verdana" w:eastAsia="Times New Roman" w:hAnsi="Verdana" w:cs="Times New Roman"/>
          <w:i/>
          <w:iCs/>
          <w:sz w:val="20"/>
          <w:szCs w:val="20"/>
        </w:rPr>
        <w:t>Learning Abstracts, 24</w:t>
      </w:r>
      <w:r>
        <w:rPr>
          <w:rFonts w:ascii="Verdana" w:eastAsia="Times New Roman" w:hAnsi="Verdana" w:cs="Times New Roman"/>
          <w:sz w:val="20"/>
          <w:szCs w:val="20"/>
        </w:rPr>
        <w:t>(12). League for Innovation in the Community College.</w:t>
      </w:r>
    </w:p>
    <w:p w14:paraId="460898EE" w14:textId="1DBCBD80" w:rsidR="00E7745C" w:rsidRPr="00E7745C" w:rsidRDefault="00E7745C" w:rsidP="00E774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20"/>
        <w:rPr>
          <w:rFonts w:ascii="Verdana" w:eastAsia="Times New Roman" w:hAnsi="Verdana" w:cs="Times New Roman"/>
          <w:sz w:val="20"/>
          <w:szCs w:val="20"/>
        </w:rPr>
      </w:pPr>
    </w:p>
    <w:p w14:paraId="1C2B2EA6" w14:textId="1830D93D" w:rsidR="00E7745C" w:rsidRPr="00510B95" w:rsidRDefault="00E7745C" w:rsidP="00510B95">
      <w:pPr>
        <w:spacing w:after="0" w:line="240" w:lineRule="auto"/>
        <w:rPr>
          <w:sz w:val="20"/>
          <w:szCs w:val="20"/>
        </w:rPr>
      </w:pPr>
      <w:r w:rsidRPr="00510B95">
        <w:rPr>
          <w:rFonts w:ascii="Verdana" w:hAnsi="Verdana"/>
          <w:sz w:val="20"/>
          <w:szCs w:val="20"/>
        </w:rPr>
        <w:t>O’Banion, T., &amp; Miles,</w:t>
      </w:r>
      <w:r>
        <w:rPr>
          <w:rFonts w:ascii="Verdana" w:hAnsi="Verdana"/>
          <w:sz w:val="20"/>
          <w:szCs w:val="20"/>
        </w:rPr>
        <w:t xml:space="preserve"> C. (2022). </w:t>
      </w:r>
      <w:r w:rsidRPr="00510B95">
        <w:rPr>
          <w:rFonts w:ascii="Verdana" w:hAnsi="Verdana"/>
          <w:sz w:val="20"/>
          <w:szCs w:val="20"/>
        </w:rPr>
        <w:t xml:space="preserve">The </w:t>
      </w:r>
      <w:r w:rsidRPr="00E7745C">
        <w:rPr>
          <w:rFonts w:ascii="Verdana" w:hAnsi="Verdana"/>
          <w:sz w:val="20"/>
          <w:szCs w:val="20"/>
        </w:rPr>
        <w:t xml:space="preserve">philosophy and practice of general education in community colleges </w:t>
      </w:r>
      <w:r w:rsidRPr="00510B95">
        <w:rPr>
          <w:rFonts w:ascii="Verdana" w:hAnsi="Verdana"/>
          <w:sz w:val="20"/>
          <w:szCs w:val="20"/>
        </w:rPr>
        <w:t>in the United States</w:t>
      </w:r>
      <w:r>
        <w:rPr>
          <w:rFonts w:ascii="Verdana" w:hAnsi="Verdana"/>
          <w:sz w:val="20"/>
          <w:szCs w:val="20"/>
        </w:rPr>
        <w:t>.</w:t>
      </w:r>
      <w:r w:rsidRPr="00510B95">
        <w:rPr>
          <w:rFonts w:ascii="Verdana" w:hAnsi="Verdana"/>
          <w:sz w:val="20"/>
          <w:szCs w:val="20"/>
        </w:rPr>
        <w:t xml:space="preserve"> </w:t>
      </w:r>
      <w:r w:rsidRPr="00510B95">
        <w:rPr>
          <w:rFonts w:ascii="Verdana" w:hAnsi="Verdana"/>
          <w:i/>
          <w:iCs/>
          <w:sz w:val="20"/>
          <w:szCs w:val="20"/>
        </w:rPr>
        <w:t>Journal of General Education and Multi-Culture</w:t>
      </w:r>
      <w:r w:rsidRPr="00510B95">
        <w:rPr>
          <w:rFonts w:ascii="Verdana" w:hAnsi="Verdana"/>
          <w:sz w:val="20"/>
          <w:szCs w:val="20"/>
        </w:rPr>
        <w:t xml:space="preserve">, </w:t>
      </w:r>
      <w:r w:rsidRPr="00510B95">
        <w:rPr>
          <w:rFonts w:ascii="Verdana" w:hAnsi="Verdana"/>
          <w:i/>
          <w:iCs/>
          <w:sz w:val="20"/>
          <w:szCs w:val="20"/>
        </w:rPr>
        <w:t>10</w:t>
      </w:r>
      <w:r w:rsidRPr="00510B95">
        <w:rPr>
          <w:rFonts w:ascii="Verdana" w:hAnsi="Verdana"/>
          <w:sz w:val="20"/>
          <w:szCs w:val="20"/>
        </w:rPr>
        <w:t>, 13-44.</w:t>
      </w:r>
    </w:p>
    <w:p w14:paraId="6CBE8BF3" w14:textId="77777777" w:rsidR="00E7745C" w:rsidRPr="00510B95" w:rsidRDefault="00E7745C" w:rsidP="00E774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20"/>
        <w:rPr>
          <w:rFonts w:ascii="Verdana" w:eastAsia="Times New Roman" w:hAnsi="Verdana" w:cs="Times New Roman"/>
          <w:sz w:val="20"/>
          <w:szCs w:val="20"/>
        </w:rPr>
      </w:pPr>
    </w:p>
    <w:p w14:paraId="13283540" w14:textId="4F897815" w:rsidR="00B7266D" w:rsidRPr="00987394" w:rsidRDefault="00B7266D" w:rsidP="000B24D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987394">
        <w:rPr>
          <w:rFonts w:ascii="Verdana" w:hAnsi="Verdana" w:cs="Times New Roman"/>
          <w:sz w:val="20"/>
          <w:szCs w:val="20"/>
        </w:rPr>
        <w:t xml:space="preserve">Proctor, R. E. (1998) </w:t>
      </w:r>
      <w:r w:rsidRPr="00987394">
        <w:rPr>
          <w:rFonts w:ascii="Verdana" w:hAnsi="Verdana" w:cs="Times New Roman"/>
          <w:i/>
          <w:iCs/>
          <w:sz w:val="20"/>
          <w:szCs w:val="20"/>
        </w:rPr>
        <w:t>Defining the humanities: How rediscovering a tradition can improve our schools</w:t>
      </w:r>
      <w:r w:rsidR="004F036C">
        <w:rPr>
          <w:rFonts w:ascii="Verdana" w:hAnsi="Verdana" w:cs="Times New Roman"/>
          <w:sz w:val="20"/>
          <w:szCs w:val="20"/>
        </w:rPr>
        <w:t xml:space="preserve"> (2</w:t>
      </w:r>
      <w:r w:rsidR="004F036C" w:rsidRPr="004F036C">
        <w:rPr>
          <w:rFonts w:ascii="Verdana" w:hAnsi="Verdana" w:cs="Times New Roman"/>
          <w:sz w:val="20"/>
          <w:szCs w:val="20"/>
          <w:vertAlign w:val="superscript"/>
        </w:rPr>
        <w:t>nd</w:t>
      </w:r>
      <w:r w:rsidR="004F036C">
        <w:rPr>
          <w:rFonts w:ascii="Verdana" w:hAnsi="Verdana" w:cs="Times New Roman"/>
          <w:sz w:val="20"/>
          <w:szCs w:val="20"/>
        </w:rPr>
        <w:t xml:space="preserve"> ed.)</w:t>
      </w:r>
      <w:r w:rsidRPr="00987394">
        <w:rPr>
          <w:rFonts w:ascii="Verdana" w:hAnsi="Verdana" w:cs="Times New Roman"/>
          <w:sz w:val="20"/>
          <w:szCs w:val="20"/>
        </w:rPr>
        <w:t>. Indiana University Press.</w:t>
      </w:r>
    </w:p>
    <w:p w14:paraId="3CB6C529" w14:textId="77777777" w:rsidR="000B24D4" w:rsidRDefault="000B24D4" w:rsidP="000B24D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1C446FB0" w14:textId="54BAF457" w:rsidR="008D4AF9" w:rsidRPr="004F036C" w:rsidRDefault="00C70C38" w:rsidP="000B24D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987394">
        <w:rPr>
          <w:rFonts w:ascii="Verdana" w:hAnsi="Verdana" w:cs="Times New Roman"/>
          <w:sz w:val="20"/>
          <w:szCs w:val="20"/>
        </w:rPr>
        <w:t>Wilson, C.</w:t>
      </w:r>
      <w:r w:rsidR="004F036C">
        <w:rPr>
          <w:rFonts w:ascii="Verdana" w:hAnsi="Verdana" w:cs="Times New Roman"/>
          <w:sz w:val="20"/>
          <w:szCs w:val="20"/>
        </w:rPr>
        <w:t xml:space="preserve"> </w:t>
      </w:r>
      <w:r w:rsidRPr="00987394">
        <w:rPr>
          <w:rFonts w:ascii="Verdana" w:hAnsi="Verdana" w:cs="Times New Roman"/>
          <w:sz w:val="20"/>
          <w:szCs w:val="20"/>
        </w:rPr>
        <w:t xml:space="preserve">D., Miles, C. L., Baker, R. L., </w:t>
      </w:r>
      <w:r w:rsidR="004F036C">
        <w:rPr>
          <w:rFonts w:ascii="Verdana" w:hAnsi="Verdana" w:cs="Times New Roman"/>
          <w:sz w:val="20"/>
          <w:szCs w:val="20"/>
        </w:rPr>
        <w:t xml:space="preserve">&amp; </w:t>
      </w:r>
      <w:r w:rsidRPr="00987394">
        <w:rPr>
          <w:rFonts w:ascii="Verdana" w:hAnsi="Verdana" w:cs="Times New Roman"/>
          <w:sz w:val="20"/>
          <w:szCs w:val="20"/>
        </w:rPr>
        <w:t xml:space="preserve">Schoenberger, L. R. (2000). </w:t>
      </w:r>
      <w:r w:rsidRPr="00987394">
        <w:rPr>
          <w:rFonts w:ascii="Verdana" w:hAnsi="Verdana" w:cs="Times New Roman"/>
          <w:i/>
          <w:iCs/>
          <w:sz w:val="20"/>
          <w:szCs w:val="20"/>
        </w:rPr>
        <w:t>Learning outcomes for the 21</w:t>
      </w:r>
      <w:r w:rsidR="004F036C" w:rsidRPr="004F036C">
        <w:rPr>
          <w:rFonts w:ascii="Verdana" w:hAnsi="Verdana" w:cs="Times New Roman"/>
          <w:i/>
          <w:iCs/>
          <w:sz w:val="20"/>
          <w:szCs w:val="20"/>
          <w:vertAlign w:val="superscript"/>
        </w:rPr>
        <w:t>st</w:t>
      </w:r>
      <w:r w:rsidRPr="00987394">
        <w:rPr>
          <w:rFonts w:ascii="Verdana" w:hAnsi="Verdana" w:cs="Times New Roman"/>
          <w:i/>
          <w:iCs/>
          <w:sz w:val="20"/>
          <w:szCs w:val="20"/>
        </w:rPr>
        <w:t xml:space="preserve"> Century: Report of a </w:t>
      </w:r>
      <w:r w:rsidR="00E4179A" w:rsidRPr="00987394">
        <w:rPr>
          <w:rFonts w:ascii="Verdana" w:hAnsi="Verdana" w:cs="Times New Roman"/>
          <w:i/>
          <w:iCs/>
          <w:sz w:val="20"/>
          <w:szCs w:val="20"/>
        </w:rPr>
        <w:t>c</w:t>
      </w:r>
      <w:r w:rsidRPr="00987394">
        <w:rPr>
          <w:rFonts w:ascii="Verdana" w:hAnsi="Verdana" w:cs="Times New Roman"/>
          <w:i/>
          <w:iCs/>
          <w:sz w:val="20"/>
          <w:szCs w:val="20"/>
        </w:rPr>
        <w:t xml:space="preserve">ommunity </w:t>
      </w:r>
      <w:r w:rsidR="004B7C89" w:rsidRPr="00987394">
        <w:rPr>
          <w:rFonts w:ascii="Verdana" w:hAnsi="Verdana" w:cs="Times New Roman"/>
          <w:i/>
          <w:iCs/>
          <w:sz w:val="20"/>
          <w:szCs w:val="20"/>
        </w:rPr>
        <w:t>c</w:t>
      </w:r>
      <w:r w:rsidRPr="00987394">
        <w:rPr>
          <w:rFonts w:ascii="Verdana" w:hAnsi="Verdana" w:cs="Times New Roman"/>
          <w:i/>
          <w:iCs/>
          <w:sz w:val="20"/>
          <w:szCs w:val="20"/>
        </w:rPr>
        <w:t xml:space="preserve">ollege </w:t>
      </w:r>
      <w:r w:rsidR="00E4179A" w:rsidRPr="00987394">
        <w:rPr>
          <w:rFonts w:ascii="Verdana" w:hAnsi="Verdana" w:cs="Times New Roman"/>
          <w:i/>
          <w:iCs/>
          <w:sz w:val="20"/>
          <w:szCs w:val="20"/>
        </w:rPr>
        <w:t>s</w:t>
      </w:r>
      <w:r w:rsidRPr="00987394">
        <w:rPr>
          <w:rFonts w:ascii="Verdana" w:hAnsi="Verdana" w:cs="Times New Roman"/>
          <w:i/>
          <w:iCs/>
          <w:sz w:val="20"/>
          <w:szCs w:val="20"/>
        </w:rPr>
        <w:t>tudy</w:t>
      </w:r>
      <w:r w:rsidRPr="00987394">
        <w:rPr>
          <w:rFonts w:ascii="Verdana" w:hAnsi="Verdana" w:cs="Times New Roman"/>
          <w:sz w:val="20"/>
          <w:szCs w:val="20"/>
        </w:rPr>
        <w:t xml:space="preserve">. League for Innovation in the Community College. </w:t>
      </w:r>
    </w:p>
    <w:p w14:paraId="510D7CCE" w14:textId="77777777" w:rsidR="008D4AF9" w:rsidRPr="00987394" w:rsidRDefault="008D4AF9" w:rsidP="00A623F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Verdana" w:hAnsi="Verdana" w:cs="Times New Roman"/>
          <w:sz w:val="20"/>
          <w:szCs w:val="20"/>
        </w:rPr>
      </w:pPr>
    </w:p>
    <w:p w14:paraId="2E4F6883" w14:textId="7101130D" w:rsidR="00C80AD8" w:rsidRDefault="00C80AD8" w:rsidP="00C80AD8">
      <w:pPr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E959D9">
        <w:rPr>
          <w:rFonts w:ascii="Verdana" w:hAnsi="Verdana" w:cs="Times New Roman"/>
          <w:i/>
          <w:iCs/>
          <w:sz w:val="20"/>
          <w:szCs w:val="20"/>
        </w:rPr>
        <w:t>Cindy L. Miles</w:t>
      </w:r>
      <w:r>
        <w:rPr>
          <w:rFonts w:ascii="Verdana" w:hAnsi="Verdana" w:cs="Times New Roman"/>
          <w:i/>
          <w:iCs/>
          <w:sz w:val="20"/>
          <w:szCs w:val="20"/>
        </w:rPr>
        <w:t xml:space="preserve"> is</w:t>
      </w:r>
      <w:r w:rsidRPr="00E959D9">
        <w:rPr>
          <w:rFonts w:ascii="Verdana" w:hAnsi="Verdana" w:cs="Times New Roman"/>
          <w:i/>
          <w:iCs/>
          <w:sz w:val="20"/>
          <w:szCs w:val="20"/>
        </w:rPr>
        <w:t xml:space="preserve"> Professor of Practice, Kansas State University</w:t>
      </w:r>
      <w:r>
        <w:rPr>
          <w:rFonts w:ascii="Verdana" w:hAnsi="Verdana" w:cs="Times New Roman"/>
          <w:i/>
          <w:iCs/>
          <w:sz w:val="20"/>
          <w:szCs w:val="20"/>
        </w:rPr>
        <w:t>, and</w:t>
      </w:r>
      <w:r w:rsidRPr="00E959D9">
        <w:rPr>
          <w:rFonts w:ascii="Verdana" w:hAnsi="Verdana" w:cs="Times New Roman"/>
          <w:i/>
          <w:iCs/>
          <w:sz w:val="20"/>
          <w:szCs w:val="20"/>
        </w:rPr>
        <w:t xml:space="preserve"> Chancellor Emerita, Grossmont-Cuyamaca Community College District</w:t>
      </w:r>
      <w:r>
        <w:rPr>
          <w:rFonts w:ascii="Verdana" w:hAnsi="Verdana" w:cs="Times New Roman"/>
          <w:i/>
          <w:iCs/>
          <w:sz w:val="20"/>
          <w:szCs w:val="20"/>
        </w:rPr>
        <w:t xml:space="preserve">. </w:t>
      </w:r>
      <w:r w:rsidRPr="00E959D9">
        <w:rPr>
          <w:rFonts w:ascii="Verdana" w:eastAsia="Times New Roman" w:hAnsi="Verdana" w:cs="Times New Roman"/>
          <w:i/>
          <w:iCs/>
          <w:sz w:val="20"/>
          <w:szCs w:val="20"/>
        </w:rPr>
        <w:t>Terry O'Banion is Senior Professor of Practice, Kansas State University</w:t>
      </w:r>
      <w:r>
        <w:rPr>
          <w:rFonts w:ascii="Verdana" w:eastAsia="Times New Roman" w:hAnsi="Verdana" w:cs="Times New Roman"/>
          <w:i/>
          <w:iCs/>
          <w:sz w:val="20"/>
          <w:szCs w:val="20"/>
        </w:rPr>
        <w:t>, and</w:t>
      </w:r>
      <w:r w:rsidRPr="00E959D9">
        <w:rPr>
          <w:rFonts w:ascii="Verdana" w:eastAsia="Times New Roman" w:hAnsi="Verdana" w:cs="Times New Roman"/>
          <w:i/>
          <w:iCs/>
          <w:sz w:val="20"/>
          <w:szCs w:val="20"/>
        </w:rPr>
        <w:t xml:space="preserve"> President Emeritus, League for Innovation in the Community College</w:t>
      </w:r>
      <w:r>
        <w:rPr>
          <w:rFonts w:ascii="Verdana" w:eastAsia="Times New Roman" w:hAnsi="Verdana" w:cs="Times New Roman"/>
          <w:i/>
          <w:iCs/>
          <w:sz w:val="20"/>
          <w:szCs w:val="20"/>
        </w:rPr>
        <w:t>.</w:t>
      </w:r>
    </w:p>
    <w:p w14:paraId="37693FC2" w14:textId="77777777" w:rsidR="00C80AD8" w:rsidRDefault="00C80AD8" w:rsidP="00C80AD8">
      <w:pPr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</w:p>
    <w:p w14:paraId="62D8B058" w14:textId="00D16F8E" w:rsidR="00555DA8" w:rsidRPr="00C80AD8" w:rsidRDefault="00C80AD8" w:rsidP="00C80AD8">
      <w:pPr>
        <w:rPr>
          <w:rFonts w:ascii="Verdana" w:eastAsia="Arial" w:hAnsi="Verdana" w:cs="Arial"/>
          <w:color w:val="000000"/>
          <w:sz w:val="20"/>
          <w:szCs w:val="20"/>
        </w:rPr>
      </w:pPr>
      <w:r w:rsidRPr="00226A08">
        <w:rPr>
          <w:rFonts w:ascii="Verdana" w:hAnsi="Verdana"/>
          <w:i/>
          <w:iCs/>
          <w:sz w:val="20"/>
          <w:szCs w:val="20"/>
        </w:rPr>
        <w:lastRenderedPageBreak/>
        <w:t>Opinions expressed in </w:t>
      </w:r>
      <w:r>
        <w:rPr>
          <w:rFonts w:ascii="Verdana" w:hAnsi="Verdana"/>
          <w:sz w:val="20"/>
          <w:szCs w:val="20"/>
        </w:rPr>
        <w:t>League Occasional Papers</w:t>
      </w:r>
      <w:r w:rsidRPr="00226A08">
        <w:rPr>
          <w:rFonts w:ascii="Verdana" w:hAnsi="Verdana"/>
          <w:i/>
          <w:iCs/>
          <w:sz w:val="20"/>
          <w:szCs w:val="20"/>
        </w:rPr>
        <w:t> are those of the author(s) and do not necessarily reflect those of the League for Innovation in the Community College.</w:t>
      </w:r>
    </w:p>
    <w:sectPr w:rsidR="00555DA8" w:rsidRPr="00C80AD8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57CBF" w14:textId="77777777" w:rsidR="002579FC" w:rsidRDefault="002579FC" w:rsidP="00AB1ECD">
      <w:pPr>
        <w:spacing w:after="0" w:line="240" w:lineRule="auto"/>
      </w:pPr>
      <w:r>
        <w:separator/>
      </w:r>
    </w:p>
  </w:endnote>
  <w:endnote w:type="continuationSeparator" w:id="0">
    <w:p w14:paraId="6839CE91" w14:textId="77777777" w:rsidR="002579FC" w:rsidRDefault="002579FC" w:rsidP="00AB1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vOT1ef757c0+2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FF5D" w14:textId="77777777" w:rsidR="00D51EA5" w:rsidRDefault="00D51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1917B" w14:textId="77777777" w:rsidR="002579FC" w:rsidRDefault="002579FC" w:rsidP="00AB1ECD">
      <w:pPr>
        <w:spacing w:after="0" w:line="240" w:lineRule="auto"/>
      </w:pPr>
      <w:r>
        <w:separator/>
      </w:r>
    </w:p>
  </w:footnote>
  <w:footnote w:type="continuationSeparator" w:id="0">
    <w:p w14:paraId="308DB577" w14:textId="77777777" w:rsidR="002579FC" w:rsidRDefault="002579FC" w:rsidP="00AB1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87E9D" w14:textId="0A8972E6" w:rsidR="00BB781B" w:rsidRDefault="00BB781B" w:rsidP="00BB781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4062"/>
    <w:multiLevelType w:val="hybridMultilevel"/>
    <w:tmpl w:val="58C4DBD2"/>
    <w:lvl w:ilvl="0" w:tplc="CC34840A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5C1AE7"/>
    <w:multiLevelType w:val="hybridMultilevel"/>
    <w:tmpl w:val="735C2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19207E"/>
    <w:multiLevelType w:val="hybridMultilevel"/>
    <w:tmpl w:val="9962E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B6133"/>
    <w:multiLevelType w:val="hybridMultilevel"/>
    <w:tmpl w:val="C4DE265C"/>
    <w:lvl w:ilvl="0" w:tplc="783AD0E6">
      <w:start w:val="1"/>
      <w:numFmt w:val="lowerLetter"/>
      <w:lvlText w:val="%1."/>
      <w:lvlJc w:val="left"/>
      <w:pPr>
        <w:ind w:left="2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6" w:hanging="360"/>
      </w:pPr>
    </w:lvl>
    <w:lvl w:ilvl="2" w:tplc="0409001B" w:tentative="1">
      <w:start w:val="1"/>
      <w:numFmt w:val="lowerRoman"/>
      <w:lvlText w:val="%3."/>
      <w:lvlJc w:val="right"/>
      <w:pPr>
        <w:ind w:left="3636" w:hanging="180"/>
      </w:pPr>
    </w:lvl>
    <w:lvl w:ilvl="3" w:tplc="0409000F" w:tentative="1">
      <w:start w:val="1"/>
      <w:numFmt w:val="decimal"/>
      <w:lvlText w:val="%4."/>
      <w:lvlJc w:val="left"/>
      <w:pPr>
        <w:ind w:left="4356" w:hanging="360"/>
      </w:pPr>
    </w:lvl>
    <w:lvl w:ilvl="4" w:tplc="04090019" w:tentative="1">
      <w:start w:val="1"/>
      <w:numFmt w:val="lowerLetter"/>
      <w:lvlText w:val="%5."/>
      <w:lvlJc w:val="left"/>
      <w:pPr>
        <w:ind w:left="5076" w:hanging="360"/>
      </w:pPr>
    </w:lvl>
    <w:lvl w:ilvl="5" w:tplc="0409001B" w:tentative="1">
      <w:start w:val="1"/>
      <w:numFmt w:val="lowerRoman"/>
      <w:lvlText w:val="%6."/>
      <w:lvlJc w:val="right"/>
      <w:pPr>
        <w:ind w:left="5796" w:hanging="180"/>
      </w:pPr>
    </w:lvl>
    <w:lvl w:ilvl="6" w:tplc="0409000F" w:tentative="1">
      <w:start w:val="1"/>
      <w:numFmt w:val="decimal"/>
      <w:lvlText w:val="%7."/>
      <w:lvlJc w:val="left"/>
      <w:pPr>
        <w:ind w:left="6516" w:hanging="360"/>
      </w:pPr>
    </w:lvl>
    <w:lvl w:ilvl="7" w:tplc="04090019" w:tentative="1">
      <w:start w:val="1"/>
      <w:numFmt w:val="lowerLetter"/>
      <w:lvlText w:val="%8."/>
      <w:lvlJc w:val="left"/>
      <w:pPr>
        <w:ind w:left="7236" w:hanging="360"/>
      </w:pPr>
    </w:lvl>
    <w:lvl w:ilvl="8" w:tplc="0409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4" w15:restartNumberingAfterBreak="0">
    <w:nsid w:val="263C05D1"/>
    <w:multiLevelType w:val="hybridMultilevel"/>
    <w:tmpl w:val="93303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11842"/>
    <w:multiLevelType w:val="hybridMultilevel"/>
    <w:tmpl w:val="214A8BA4"/>
    <w:lvl w:ilvl="0" w:tplc="7D06C6E0">
      <w:start w:val="1"/>
      <w:numFmt w:val="lowerLetter"/>
      <w:lvlText w:val="%1."/>
      <w:lvlJc w:val="left"/>
      <w:pPr>
        <w:ind w:left="2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6" w:hanging="360"/>
      </w:pPr>
    </w:lvl>
    <w:lvl w:ilvl="2" w:tplc="0409001B" w:tentative="1">
      <w:start w:val="1"/>
      <w:numFmt w:val="lowerRoman"/>
      <w:lvlText w:val="%3."/>
      <w:lvlJc w:val="right"/>
      <w:pPr>
        <w:ind w:left="3636" w:hanging="180"/>
      </w:pPr>
    </w:lvl>
    <w:lvl w:ilvl="3" w:tplc="0409000F" w:tentative="1">
      <w:start w:val="1"/>
      <w:numFmt w:val="decimal"/>
      <w:lvlText w:val="%4."/>
      <w:lvlJc w:val="left"/>
      <w:pPr>
        <w:ind w:left="4356" w:hanging="360"/>
      </w:pPr>
    </w:lvl>
    <w:lvl w:ilvl="4" w:tplc="04090019" w:tentative="1">
      <w:start w:val="1"/>
      <w:numFmt w:val="lowerLetter"/>
      <w:lvlText w:val="%5."/>
      <w:lvlJc w:val="left"/>
      <w:pPr>
        <w:ind w:left="5076" w:hanging="360"/>
      </w:pPr>
    </w:lvl>
    <w:lvl w:ilvl="5" w:tplc="0409001B" w:tentative="1">
      <w:start w:val="1"/>
      <w:numFmt w:val="lowerRoman"/>
      <w:lvlText w:val="%6."/>
      <w:lvlJc w:val="right"/>
      <w:pPr>
        <w:ind w:left="5796" w:hanging="180"/>
      </w:pPr>
    </w:lvl>
    <w:lvl w:ilvl="6" w:tplc="0409000F" w:tentative="1">
      <w:start w:val="1"/>
      <w:numFmt w:val="decimal"/>
      <w:lvlText w:val="%7."/>
      <w:lvlJc w:val="left"/>
      <w:pPr>
        <w:ind w:left="6516" w:hanging="360"/>
      </w:pPr>
    </w:lvl>
    <w:lvl w:ilvl="7" w:tplc="04090019" w:tentative="1">
      <w:start w:val="1"/>
      <w:numFmt w:val="lowerLetter"/>
      <w:lvlText w:val="%8."/>
      <w:lvlJc w:val="left"/>
      <w:pPr>
        <w:ind w:left="7236" w:hanging="360"/>
      </w:pPr>
    </w:lvl>
    <w:lvl w:ilvl="8" w:tplc="0409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6" w15:restartNumberingAfterBreak="0">
    <w:nsid w:val="2F45192A"/>
    <w:multiLevelType w:val="hybridMultilevel"/>
    <w:tmpl w:val="242066B0"/>
    <w:lvl w:ilvl="0" w:tplc="52146132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173ABA"/>
    <w:multiLevelType w:val="hybridMultilevel"/>
    <w:tmpl w:val="B900B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B352E"/>
    <w:multiLevelType w:val="hybridMultilevel"/>
    <w:tmpl w:val="C72C5E82"/>
    <w:lvl w:ilvl="0" w:tplc="0B562B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CB667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69881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5482E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746B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72012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5285D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AEED5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C7EAA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" w15:restartNumberingAfterBreak="0">
    <w:nsid w:val="3EA32FDC"/>
    <w:multiLevelType w:val="hybridMultilevel"/>
    <w:tmpl w:val="71647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476E7"/>
    <w:multiLevelType w:val="hybridMultilevel"/>
    <w:tmpl w:val="8990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22B21"/>
    <w:multiLevelType w:val="hybridMultilevel"/>
    <w:tmpl w:val="931C4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57636"/>
    <w:multiLevelType w:val="hybridMultilevel"/>
    <w:tmpl w:val="BEC0851E"/>
    <w:lvl w:ilvl="0" w:tplc="A60CB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7D62DD"/>
    <w:multiLevelType w:val="hybridMultilevel"/>
    <w:tmpl w:val="19448DAC"/>
    <w:lvl w:ilvl="0" w:tplc="771AB598">
      <w:start w:val="1"/>
      <w:numFmt w:val="lowerLetter"/>
      <w:lvlText w:val="%1."/>
      <w:lvlJc w:val="left"/>
      <w:pPr>
        <w:ind w:left="219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16" w:hanging="360"/>
      </w:pPr>
    </w:lvl>
    <w:lvl w:ilvl="2" w:tplc="0409001B" w:tentative="1">
      <w:start w:val="1"/>
      <w:numFmt w:val="lowerRoman"/>
      <w:lvlText w:val="%3."/>
      <w:lvlJc w:val="right"/>
      <w:pPr>
        <w:ind w:left="3636" w:hanging="180"/>
      </w:pPr>
    </w:lvl>
    <w:lvl w:ilvl="3" w:tplc="0409000F" w:tentative="1">
      <w:start w:val="1"/>
      <w:numFmt w:val="decimal"/>
      <w:lvlText w:val="%4."/>
      <w:lvlJc w:val="left"/>
      <w:pPr>
        <w:ind w:left="4356" w:hanging="360"/>
      </w:pPr>
    </w:lvl>
    <w:lvl w:ilvl="4" w:tplc="04090019" w:tentative="1">
      <w:start w:val="1"/>
      <w:numFmt w:val="lowerLetter"/>
      <w:lvlText w:val="%5."/>
      <w:lvlJc w:val="left"/>
      <w:pPr>
        <w:ind w:left="5076" w:hanging="360"/>
      </w:pPr>
    </w:lvl>
    <w:lvl w:ilvl="5" w:tplc="0409001B" w:tentative="1">
      <w:start w:val="1"/>
      <w:numFmt w:val="lowerRoman"/>
      <w:lvlText w:val="%6."/>
      <w:lvlJc w:val="right"/>
      <w:pPr>
        <w:ind w:left="5796" w:hanging="180"/>
      </w:pPr>
    </w:lvl>
    <w:lvl w:ilvl="6" w:tplc="0409000F" w:tentative="1">
      <w:start w:val="1"/>
      <w:numFmt w:val="decimal"/>
      <w:lvlText w:val="%7."/>
      <w:lvlJc w:val="left"/>
      <w:pPr>
        <w:ind w:left="6516" w:hanging="360"/>
      </w:pPr>
    </w:lvl>
    <w:lvl w:ilvl="7" w:tplc="04090019" w:tentative="1">
      <w:start w:val="1"/>
      <w:numFmt w:val="lowerLetter"/>
      <w:lvlText w:val="%8."/>
      <w:lvlJc w:val="left"/>
      <w:pPr>
        <w:ind w:left="7236" w:hanging="360"/>
      </w:pPr>
    </w:lvl>
    <w:lvl w:ilvl="8" w:tplc="0409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14" w15:restartNumberingAfterBreak="0">
    <w:nsid w:val="68C40153"/>
    <w:multiLevelType w:val="hybridMultilevel"/>
    <w:tmpl w:val="ECA2B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F73B5"/>
    <w:multiLevelType w:val="multilevel"/>
    <w:tmpl w:val="74F8D9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323BF3"/>
    <w:multiLevelType w:val="hybridMultilevel"/>
    <w:tmpl w:val="87D8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20492"/>
    <w:multiLevelType w:val="hybridMultilevel"/>
    <w:tmpl w:val="03F05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665E7"/>
    <w:multiLevelType w:val="hybridMultilevel"/>
    <w:tmpl w:val="91607D98"/>
    <w:lvl w:ilvl="0" w:tplc="C90AF974">
      <w:start w:val="1"/>
      <w:numFmt w:val="lowerLetter"/>
      <w:lvlText w:val="%1."/>
      <w:lvlJc w:val="left"/>
      <w:pPr>
        <w:ind w:left="2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6" w:hanging="360"/>
      </w:pPr>
    </w:lvl>
    <w:lvl w:ilvl="2" w:tplc="0409001B" w:tentative="1">
      <w:start w:val="1"/>
      <w:numFmt w:val="lowerRoman"/>
      <w:lvlText w:val="%3."/>
      <w:lvlJc w:val="right"/>
      <w:pPr>
        <w:ind w:left="3636" w:hanging="180"/>
      </w:pPr>
    </w:lvl>
    <w:lvl w:ilvl="3" w:tplc="0409000F" w:tentative="1">
      <w:start w:val="1"/>
      <w:numFmt w:val="decimal"/>
      <w:lvlText w:val="%4."/>
      <w:lvlJc w:val="left"/>
      <w:pPr>
        <w:ind w:left="4356" w:hanging="360"/>
      </w:pPr>
    </w:lvl>
    <w:lvl w:ilvl="4" w:tplc="04090019" w:tentative="1">
      <w:start w:val="1"/>
      <w:numFmt w:val="lowerLetter"/>
      <w:lvlText w:val="%5."/>
      <w:lvlJc w:val="left"/>
      <w:pPr>
        <w:ind w:left="5076" w:hanging="360"/>
      </w:pPr>
    </w:lvl>
    <w:lvl w:ilvl="5" w:tplc="0409001B" w:tentative="1">
      <w:start w:val="1"/>
      <w:numFmt w:val="lowerRoman"/>
      <w:lvlText w:val="%6."/>
      <w:lvlJc w:val="right"/>
      <w:pPr>
        <w:ind w:left="5796" w:hanging="180"/>
      </w:pPr>
    </w:lvl>
    <w:lvl w:ilvl="6" w:tplc="0409000F" w:tentative="1">
      <w:start w:val="1"/>
      <w:numFmt w:val="decimal"/>
      <w:lvlText w:val="%7."/>
      <w:lvlJc w:val="left"/>
      <w:pPr>
        <w:ind w:left="6516" w:hanging="360"/>
      </w:pPr>
    </w:lvl>
    <w:lvl w:ilvl="7" w:tplc="04090019" w:tentative="1">
      <w:start w:val="1"/>
      <w:numFmt w:val="lowerLetter"/>
      <w:lvlText w:val="%8."/>
      <w:lvlJc w:val="left"/>
      <w:pPr>
        <w:ind w:left="7236" w:hanging="360"/>
      </w:pPr>
    </w:lvl>
    <w:lvl w:ilvl="8" w:tplc="0409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19" w15:restartNumberingAfterBreak="0">
    <w:nsid w:val="7B3314B1"/>
    <w:multiLevelType w:val="multilevel"/>
    <w:tmpl w:val="E6B2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5938217">
    <w:abstractNumId w:val="10"/>
  </w:num>
  <w:num w:numId="2" w16cid:durableId="131947735">
    <w:abstractNumId w:val="19"/>
  </w:num>
  <w:num w:numId="3" w16cid:durableId="1206286545">
    <w:abstractNumId w:val="3"/>
  </w:num>
  <w:num w:numId="4" w16cid:durableId="700327341">
    <w:abstractNumId w:val="5"/>
  </w:num>
  <w:num w:numId="5" w16cid:durableId="869760114">
    <w:abstractNumId w:val="18"/>
  </w:num>
  <w:num w:numId="6" w16cid:durableId="1847592119">
    <w:abstractNumId w:val="13"/>
  </w:num>
  <w:num w:numId="7" w16cid:durableId="2011323272">
    <w:abstractNumId w:val="16"/>
  </w:num>
  <w:num w:numId="8" w16cid:durableId="449127061">
    <w:abstractNumId w:val="2"/>
  </w:num>
  <w:num w:numId="9" w16cid:durableId="2101903189">
    <w:abstractNumId w:val="4"/>
  </w:num>
  <w:num w:numId="10" w16cid:durableId="1928882410">
    <w:abstractNumId w:val="9"/>
  </w:num>
  <w:num w:numId="11" w16cid:durableId="253786105">
    <w:abstractNumId w:val="7"/>
  </w:num>
  <w:num w:numId="12" w16cid:durableId="791048379">
    <w:abstractNumId w:val="1"/>
  </w:num>
  <w:num w:numId="13" w16cid:durableId="958415445">
    <w:abstractNumId w:val="14"/>
  </w:num>
  <w:num w:numId="14" w16cid:durableId="829371585">
    <w:abstractNumId w:val="11"/>
  </w:num>
  <w:num w:numId="15" w16cid:durableId="1646007292">
    <w:abstractNumId w:val="17"/>
  </w:num>
  <w:num w:numId="16" w16cid:durableId="212932332">
    <w:abstractNumId w:val="12"/>
  </w:num>
  <w:num w:numId="17" w16cid:durableId="2005430916">
    <w:abstractNumId w:val="15"/>
  </w:num>
  <w:num w:numId="18" w16cid:durableId="1591621128">
    <w:abstractNumId w:val="0"/>
  </w:num>
  <w:num w:numId="19" w16cid:durableId="1497188789">
    <w:abstractNumId w:val="6"/>
  </w:num>
  <w:num w:numId="20" w16cid:durableId="8511425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70D"/>
    <w:rsid w:val="00000DD1"/>
    <w:rsid w:val="00000EA0"/>
    <w:rsid w:val="0000167A"/>
    <w:rsid w:val="00001783"/>
    <w:rsid w:val="0000193D"/>
    <w:rsid w:val="00001B68"/>
    <w:rsid w:val="00001B79"/>
    <w:rsid w:val="00001F08"/>
    <w:rsid w:val="0000272F"/>
    <w:rsid w:val="0000565C"/>
    <w:rsid w:val="000100E7"/>
    <w:rsid w:val="00010534"/>
    <w:rsid w:val="00010A18"/>
    <w:rsid w:val="00010FC3"/>
    <w:rsid w:val="000111FE"/>
    <w:rsid w:val="0001580E"/>
    <w:rsid w:val="00016619"/>
    <w:rsid w:val="0001669E"/>
    <w:rsid w:val="00016BF6"/>
    <w:rsid w:val="00016D57"/>
    <w:rsid w:val="00017BA4"/>
    <w:rsid w:val="00017F81"/>
    <w:rsid w:val="000206C1"/>
    <w:rsid w:val="00020A64"/>
    <w:rsid w:val="00020DD5"/>
    <w:rsid w:val="00021100"/>
    <w:rsid w:val="00021130"/>
    <w:rsid w:val="000219CF"/>
    <w:rsid w:val="00021F9B"/>
    <w:rsid w:val="000232CD"/>
    <w:rsid w:val="00024446"/>
    <w:rsid w:val="0002451C"/>
    <w:rsid w:val="000248E3"/>
    <w:rsid w:val="00024A3C"/>
    <w:rsid w:val="00025864"/>
    <w:rsid w:val="00026D52"/>
    <w:rsid w:val="0003090E"/>
    <w:rsid w:val="00031AD8"/>
    <w:rsid w:val="00032FF7"/>
    <w:rsid w:val="000335B2"/>
    <w:rsid w:val="00033D6C"/>
    <w:rsid w:val="0003428A"/>
    <w:rsid w:val="00035147"/>
    <w:rsid w:val="00035572"/>
    <w:rsid w:val="000375A9"/>
    <w:rsid w:val="00037D3D"/>
    <w:rsid w:val="00040DCD"/>
    <w:rsid w:val="00041BB5"/>
    <w:rsid w:val="00041C54"/>
    <w:rsid w:val="00041E44"/>
    <w:rsid w:val="000422CF"/>
    <w:rsid w:val="00042398"/>
    <w:rsid w:val="0004285E"/>
    <w:rsid w:val="0004446F"/>
    <w:rsid w:val="000444B8"/>
    <w:rsid w:val="00044711"/>
    <w:rsid w:val="00045527"/>
    <w:rsid w:val="00045F36"/>
    <w:rsid w:val="00046926"/>
    <w:rsid w:val="00046DC2"/>
    <w:rsid w:val="00050D57"/>
    <w:rsid w:val="0005129E"/>
    <w:rsid w:val="000529DE"/>
    <w:rsid w:val="00052C53"/>
    <w:rsid w:val="000531C5"/>
    <w:rsid w:val="000539E5"/>
    <w:rsid w:val="00053A47"/>
    <w:rsid w:val="00053A66"/>
    <w:rsid w:val="00057CB3"/>
    <w:rsid w:val="00060535"/>
    <w:rsid w:val="00060E01"/>
    <w:rsid w:val="0006125C"/>
    <w:rsid w:val="0006139D"/>
    <w:rsid w:val="00061A3D"/>
    <w:rsid w:val="00062A38"/>
    <w:rsid w:val="00062EB6"/>
    <w:rsid w:val="0006524A"/>
    <w:rsid w:val="00065946"/>
    <w:rsid w:val="00065BAC"/>
    <w:rsid w:val="00065E0D"/>
    <w:rsid w:val="00065E23"/>
    <w:rsid w:val="00066269"/>
    <w:rsid w:val="000672C1"/>
    <w:rsid w:val="00070DED"/>
    <w:rsid w:val="00071E76"/>
    <w:rsid w:val="00073172"/>
    <w:rsid w:val="0007334C"/>
    <w:rsid w:val="00073803"/>
    <w:rsid w:val="00073D09"/>
    <w:rsid w:val="00073F1D"/>
    <w:rsid w:val="00074819"/>
    <w:rsid w:val="00074974"/>
    <w:rsid w:val="00074AAD"/>
    <w:rsid w:val="00075578"/>
    <w:rsid w:val="00075E3A"/>
    <w:rsid w:val="00075F04"/>
    <w:rsid w:val="0007640D"/>
    <w:rsid w:val="00080AB2"/>
    <w:rsid w:val="000810A8"/>
    <w:rsid w:val="000813A0"/>
    <w:rsid w:val="0008143F"/>
    <w:rsid w:val="000814F5"/>
    <w:rsid w:val="00082226"/>
    <w:rsid w:val="000825DF"/>
    <w:rsid w:val="0008286F"/>
    <w:rsid w:val="00084015"/>
    <w:rsid w:val="00084C1E"/>
    <w:rsid w:val="00085C8B"/>
    <w:rsid w:val="00085DDD"/>
    <w:rsid w:val="000862AA"/>
    <w:rsid w:val="00087756"/>
    <w:rsid w:val="00090791"/>
    <w:rsid w:val="000909EF"/>
    <w:rsid w:val="00091014"/>
    <w:rsid w:val="000925DF"/>
    <w:rsid w:val="00092958"/>
    <w:rsid w:val="0009296A"/>
    <w:rsid w:val="0009357C"/>
    <w:rsid w:val="000939C5"/>
    <w:rsid w:val="00094394"/>
    <w:rsid w:val="000947C7"/>
    <w:rsid w:val="00094E0D"/>
    <w:rsid w:val="00094F26"/>
    <w:rsid w:val="000963B2"/>
    <w:rsid w:val="000963BC"/>
    <w:rsid w:val="0009749D"/>
    <w:rsid w:val="000979F4"/>
    <w:rsid w:val="00097B62"/>
    <w:rsid w:val="000A010B"/>
    <w:rsid w:val="000A0140"/>
    <w:rsid w:val="000A0159"/>
    <w:rsid w:val="000A196E"/>
    <w:rsid w:val="000A1A1A"/>
    <w:rsid w:val="000A1B25"/>
    <w:rsid w:val="000A26FD"/>
    <w:rsid w:val="000A2A6C"/>
    <w:rsid w:val="000A2C98"/>
    <w:rsid w:val="000A2EC4"/>
    <w:rsid w:val="000A31A5"/>
    <w:rsid w:val="000A3B62"/>
    <w:rsid w:val="000A3EB8"/>
    <w:rsid w:val="000A4E8A"/>
    <w:rsid w:val="000A632D"/>
    <w:rsid w:val="000A70D0"/>
    <w:rsid w:val="000A7886"/>
    <w:rsid w:val="000B0767"/>
    <w:rsid w:val="000B1868"/>
    <w:rsid w:val="000B1A9C"/>
    <w:rsid w:val="000B207D"/>
    <w:rsid w:val="000B24D4"/>
    <w:rsid w:val="000B2707"/>
    <w:rsid w:val="000B2CBE"/>
    <w:rsid w:val="000B2DD5"/>
    <w:rsid w:val="000B3054"/>
    <w:rsid w:val="000B3BCE"/>
    <w:rsid w:val="000B3F72"/>
    <w:rsid w:val="000B4E53"/>
    <w:rsid w:val="000B619D"/>
    <w:rsid w:val="000B7152"/>
    <w:rsid w:val="000C104F"/>
    <w:rsid w:val="000C1446"/>
    <w:rsid w:val="000C14E2"/>
    <w:rsid w:val="000C25B9"/>
    <w:rsid w:val="000C2917"/>
    <w:rsid w:val="000C2DC8"/>
    <w:rsid w:val="000C316D"/>
    <w:rsid w:val="000C348F"/>
    <w:rsid w:val="000C36DF"/>
    <w:rsid w:val="000C555C"/>
    <w:rsid w:val="000C572B"/>
    <w:rsid w:val="000C5B3D"/>
    <w:rsid w:val="000C6861"/>
    <w:rsid w:val="000D0266"/>
    <w:rsid w:val="000D0ACD"/>
    <w:rsid w:val="000D0F68"/>
    <w:rsid w:val="000D1265"/>
    <w:rsid w:val="000D2B29"/>
    <w:rsid w:val="000D2B88"/>
    <w:rsid w:val="000D34FA"/>
    <w:rsid w:val="000D4297"/>
    <w:rsid w:val="000D502C"/>
    <w:rsid w:val="000D5AA8"/>
    <w:rsid w:val="000D5FB6"/>
    <w:rsid w:val="000D6788"/>
    <w:rsid w:val="000D67F1"/>
    <w:rsid w:val="000D723D"/>
    <w:rsid w:val="000D7A22"/>
    <w:rsid w:val="000D7C3E"/>
    <w:rsid w:val="000E005D"/>
    <w:rsid w:val="000E1B85"/>
    <w:rsid w:val="000E1DE9"/>
    <w:rsid w:val="000E315E"/>
    <w:rsid w:val="000E32FE"/>
    <w:rsid w:val="000E3992"/>
    <w:rsid w:val="000E4522"/>
    <w:rsid w:val="000E559C"/>
    <w:rsid w:val="000E7F8C"/>
    <w:rsid w:val="000F1041"/>
    <w:rsid w:val="000F1081"/>
    <w:rsid w:val="000F194E"/>
    <w:rsid w:val="000F1B92"/>
    <w:rsid w:val="000F1C12"/>
    <w:rsid w:val="000F35E0"/>
    <w:rsid w:val="000F39ED"/>
    <w:rsid w:val="000F3DD9"/>
    <w:rsid w:val="000F3F22"/>
    <w:rsid w:val="000F3F67"/>
    <w:rsid w:val="000F4507"/>
    <w:rsid w:val="000F510F"/>
    <w:rsid w:val="000F6252"/>
    <w:rsid w:val="000F6D86"/>
    <w:rsid w:val="000F7CEC"/>
    <w:rsid w:val="0010039E"/>
    <w:rsid w:val="00100457"/>
    <w:rsid w:val="00100CEC"/>
    <w:rsid w:val="00102001"/>
    <w:rsid w:val="00102D83"/>
    <w:rsid w:val="00103301"/>
    <w:rsid w:val="00103AFC"/>
    <w:rsid w:val="001065F8"/>
    <w:rsid w:val="001075E2"/>
    <w:rsid w:val="001079EC"/>
    <w:rsid w:val="001107E2"/>
    <w:rsid w:val="00110A2E"/>
    <w:rsid w:val="001118BF"/>
    <w:rsid w:val="001120FD"/>
    <w:rsid w:val="001128DD"/>
    <w:rsid w:val="00114C47"/>
    <w:rsid w:val="00115501"/>
    <w:rsid w:val="00116B34"/>
    <w:rsid w:val="00117011"/>
    <w:rsid w:val="0011706E"/>
    <w:rsid w:val="001172E3"/>
    <w:rsid w:val="00120099"/>
    <w:rsid w:val="00121B1A"/>
    <w:rsid w:val="0012292A"/>
    <w:rsid w:val="00124477"/>
    <w:rsid w:val="00124A20"/>
    <w:rsid w:val="00124FD2"/>
    <w:rsid w:val="001256DB"/>
    <w:rsid w:val="00125FEA"/>
    <w:rsid w:val="0012604A"/>
    <w:rsid w:val="001268A2"/>
    <w:rsid w:val="00127E66"/>
    <w:rsid w:val="001301F6"/>
    <w:rsid w:val="001308F5"/>
    <w:rsid w:val="00132991"/>
    <w:rsid w:val="00132B29"/>
    <w:rsid w:val="00132DD9"/>
    <w:rsid w:val="00132E90"/>
    <w:rsid w:val="00133074"/>
    <w:rsid w:val="00133575"/>
    <w:rsid w:val="0013397D"/>
    <w:rsid w:val="001346DA"/>
    <w:rsid w:val="001347E9"/>
    <w:rsid w:val="00134CAA"/>
    <w:rsid w:val="00134F2C"/>
    <w:rsid w:val="00135537"/>
    <w:rsid w:val="00136ED4"/>
    <w:rsid w:val="001376F0"/>
    <w:rsid w:val="00137A4D"/>
    <w:rsid w:val="00140448"/>
    <w:rsid w:val="00141F6D"/>
    <w:rsid w:val="001440BE"/>
    <w:rsid w:val="0014425E"/>
    <w:rsid w:val="0014462E"/>
    <w:rsid w:val="00145A44"/>
    <w:rsid w:val="00146566"/>
    <w:rsid w:val="00150A87"/>
    <w:rsid w:val="00150B1F"/>
    <w:rsid w:val="00150C46"/>
    <w:rsid w:val="001515C2"/>
    <w:rsid w:val="00152402"/>
    <w:rsid w:val="0015461A"/>
    <w:rsid w:val="0015484F"/>
    <w:rsid w:val="001556EF"/>
    <w:rsid w:val="001558A4"/>
    <w:rsid w:val="001558C7"/>
    <w:rsid w:val="001567CF"/>
    <w:rsid w:val="00160C90"/>
    <w:rsid w:val="00160FBE"/>
    <w:rsid w:val="00161813"/>
    <w:rsid w:val="001620E6"/>
    <w:rsid w:val="0016338A"/>
    <w:rsid w:val="00164619"/>
    <w:rsid w:val="00164891"/>
    <w:rsid w:val="00166665"/>
    <w:rsid w:val="001671E1"/>
    <w:rsid w:val="001679E0"/>
    <w:rsid w:val="00167A32"/>
    <w:rsid w:val="00167B12"/>
    <w:rsid w:val="00171641"/>
    <w:rsid w:val="001716E1"/>
    <w:rsid w:val="00172032"/>
    <w:rsid w:val="00172EB5"/>
    <w:rsid w:val="00173B40"/>
    <w:rsid w:val="00173EE0"/>
    <w:rsid w:val="00174F76"/>
    <w:rsid w:val="00175402"/>
    <w:rsid w:val="00175B40"/>
    <w:rsid w:val="001762E4"/>
    <w:rsid w:val="001767F7"/>
    <w:rsid w:val="00182F36"/>
    <w:rsid w:val="00183319"/>
    <w:rsid w:val="0018536D"/>
    <w:rsid w:val="00185563"/>
    <w:rsid w:val="0018715A"/>
    <w:rsid w:val="001879E6"/>
    <w:rsid w:val="00187AF4"/>
    <w:rsid w:val="00190563"/>
    <w:rsid w:val="0019082B"/>
    <w:rsid w:val="00191B89"/>
    <w:rsid w:val="00191DAC"/>
    <w:rsid w:val="001921C4"/>
    <w:rsid w:val="001929C3"/>
    <w:rsid w:val="00194AD9"/>
    <w:rsid w:val="00195A38"/>
    <w:rsid w:val="00195D58"/>
    <w:rsid w:val="00195D5D"/>
    <w:rsid w:val="001962A2"/>
    <w:rsid w:val="00196B3A"/>
    <w:rsid w:val="001A0510"/>
    <w:rsid w:val="001A0A71"/>
    <w:rsid w:val="001A1693"/>
    <w:rsid w:val="001A2AAC"/>
    <w:rsid w:val="001A2B10"/>
    <w:rsid w:val="001A2C4A"/>
    <w:rsid w:val="001A2E36"/>
    <w:rsid w:val="001A34F9"/>
    <w:rsid w:val="001A3690"/>
    <w:rsid w:val="001A438D"/>
    <w:rsid w:val="001A43BA"/>
    <w:rsid w:val="001A5383"/>
    <w:rsid w:val="001A566F"/>
    <w:rsid w:val="001A6C13"/>
    <w:rsid w:val="001A7268"/>
    <w:rsid w:val="001A7756"/>
    <w:rsid w:val="001B0839"/>
    <w:rsid w:val="001B1E56"/>
    <w:rsid w:val="001B377E"/>
    <w:rsid w:val="001B400B"/>
    <w:rsid w:val="001B44E9"/>
    <w:rsid w:val="001B47E4"/>
    <w:rsid w:val="001B521D"/>
    <w:rsid w:val="001B60EF"/>
    <w:rsid w:val="001B61DB"/>
    <w:rsid w:val="001B61E4"/>
    <w:rsid w:val="001B62E6"/>
    <w:rsid w:val="001B7331"/>
    <w:rsid w:val="001C030C"/>
    <w:rsid w:val="001C0546"/>
    <w:rsid w:val="001C0789"/>
    <w:rsid w:val="001C1112"/>
    <w:rsid w:val="001C145A"/>
    <w:rsid w:val="001C3F8B"/>
    <w:rsid w:val="001C509B"/>
    <w:rsid w:val="001C5679"/>
    <w:rsid w:val="001C5778"/>
    <w:rsid w:val="001C5B8E"/>
    <w:rsid w:val="001C7044"/>
    <w:rsid w:val="001C7C1D"/>
    <w:rsid w:val="001D0160"/>
    <w:rsid w:val="001D06BF"/>
    <w:rsid w:val="001D14B6"/>
    <w:rsid w:val="001D18B5"/>
    <w:rsid w:val="001D2362"/>
    <w:rsid w:val="001D263A"/>
    <w:rsid w:val="001D5069"/>
    <w:rsid w:val="001D5FC9"/>
    <w:rsid w:val="001D63A6"/>
    <w:rsid w:val="001D6602"/>
    <w:rsid w:val="001D6B17"/>
    <w:rsid w:val="001D7A33"/>
    <w:rsid w:val="001D7B25"/>
    <w:rsid w:val="001E0272"/>
    <w:rsid w:val="001E165C"/>
    <w:rsid w:val="001E26EB"/>
    <w:rsid w:val="001E43D9"/>
    <w:rsid w:val="001E4A4F"/>
    <w:rsid w:val="001E4CE1"/>
    <w:rsid w:val="001E5179"/>
    <w:rsid w:val="001E54BD"/>
    <w:rsid w:val="001E5AB6"/>
    <w:rsid w:val="001E5CBC"/>
    <w:rsid w:val="001E5E0C"/>
    <w:rsid w:val="001E661E"/>
    <w:rsid w:val="001E68F4"/>
    <w:rsid w:val="001E71FC"/>
    <w:rsid w:val="001F0226"/>
    <w:rsid w:val="001F0A3E"/>
    <w:rsid w:val="001F4748"/>
    <w:rsid w:val="001F5966"/>
    <w:rsid w:val="001F66B6"/>
    <w:rsid w:val="001F684D"/>
    <w:rsid w:val="001F6C4B"/>
    <w:rsid w:val="001F768E"/>
    <w:rsid w:val="001F7D0E"/>
    <w:rsid w:val="00200B6C"/>
    <w:rsid w:val="002010E8"/>
    <w:rsid w:val="00201989"/>
    <w:rsid w:val="00202373"/>
    <w:rsid w:val="0020280C"/>
    <w:rsid w:val="00203884"/>
    <w:rsid w:val="002041DA"/>
    <w:rsid w:val="002047A6"/>
    <w:rsid w:val="002047A8"/>
    <w:rsid w:val="00205989"/>
    <w:rsid w:val="00205F62"/>
    <w:rsid w:val="0020650C"/>
    <w:rsid w:val="00206545"/>
    <w:rsid w:val="002077CB"/>
    <w:rsid w:val="0021097B"/>
    <w:rsid w:val="00210DA7"/>
    <w:rsid w:val="0021224D"/>
    <w:rsid w:val="0021256E"/>
    <w:rsid w:val="00213171"/>
    <w:rsid w:val="002138CD"/>
    <w:rsid w:val="002143E6"/>
    <w:rsid w:val="00214502"/>
    <w:rsid w:val="00214BD9"/>
    <w:rsid w:val="002154A4"/>
    <w:rsid w:val="0021552F"/>
    <w:rsid w:val="002168E2"/>
    <w:rsid w:val="00216DD3"/>
    <w:rsid w:val="00217428"/>
    <w:rsid w:val="002175DA"/>
    <w:rsid w:val="00217A41"/>
    <w:rsid w:val="0022049B"/>
    <w:rsid w:val="0022077A"/>
    <w:rsid w:val="002214FB"/>
    <w:rsid w:val="00221760"/>
    <w:rsid w:val="00221C12"/>
    <w:rsid w:val="00222C34"/>
    <w:rsid w:val="00222CA5"/>
    <w:rsid w:val="002247A3"/>
    <w:rsid w:val="00225F06"/>
    <w:rsid w:val="00226F47"/>
    <w:rsid w:val="002300D6"/>
    <w:rsid w:val="00230F6F"/>
    <w:rsid w:val="00231358"/>
    <w:rsid w:val="002315C7"/>
    <w:rsid w:val="00231931"/>
    <w:rsid w:val="00232B3A"/>
    <w:rsid w:val="00232C3B"/>
    <w:rsid w:val="0023348B"/>
    <w:rsid w:val="00233BEF"/>
    <w:rsid w:val="00234E16"/>
    <w:rsid w:val="0023588A"/>
    <w:rsid w:val="0023737E"/>
    <w:rsid w:val="00237589"/>
    <w:rsid w:val="0024019A"/>
    <w:rsid w:val="002403EA"/>
    <w:rsid w:val="002431F1"/>
    <w:rsid w:val="00245117"/>
    <w:rsid w:val="002455FF"/>
    <w:rsid w:val="00245B80"/>
    <w:rsid w:val="002461FF"/>
    <w:rsid w:val="00246FBD"/>
    <w:rsid w:val="00247003"/>
    <w:rsid w:val="002470CA"/>
    <w:rsid w:val="00247B94"/>
    <w:rsid w:val="00247FB3"/>
    <w:rsid w:val="00250AAC"/>
    <w:rsid w:val="00250D1C"/>
    <w:rsid w:val="002512F9"/>
    <w:rsid w:val="002514FE"/>
    <w:rsid w:val="002517D4"/>
    <w:rsid w:val="00251FF8"/>
    <w:rsid w:val="002521BB"/>
    <w:rsid w:val="00252C09"/>
    <w:rsid w:val="00253982"/>
    <w:rsid w:val="00255876"/>
    <w:rsid w:val="002561CB"/>
    <w:rsid w:val="00256CCE"/>
    <w:rsid w:val="0025756C"/>
    <w:rsid w:val="002579FC"/>
    <w:rsid w:val="00260834"/>
    <w:rsid w:val="00260A62"/>
    <w:rsid w:val="00262C42"/>
    <w:rsid w:val="00262C89"/>
    <w:rsid w:val="00263F8F"/>
    <w:rsid w:val="002657C4"/>
    <w:rsid w:val="0026681D"/>
    <w:rsid w:val="002672AE"/>
    <w:rsid w:val="00267638"/>
    <w:rsid w:val="00267C59"/>
    <w:rsid w:val="002706E0"/>
    <w:rsid w:val="00270953"/>
    <w:rsid w:val="00271BC9"/>
    <w:rsid w:val="00273BD7"/>
    <w:rsid w:val="00273D9B"/>
    <w:rsid w:val="0027405E"/>
    <w:rsid w:val="00274F4C"/>
    <w:rsid w:val="00275990"/>
    <w:rsid w:val="00275BD0"/>
    <w:rsid w:val="00275DF1"/>
    <w:rsid w:val="0027635A"/>
    <w:rsid w:val="00276DCB"/>
    <w:rsid w:val="00277793"/>
    <w:rsid w:val="00277950"/>
    <w:rsid w:val="00280DDB"/>
    <w:rsid w:val="002812EC"/>
    <w:rsid w:val="0028139D"/>
    <w:rsid w:val="002821A0"/>
    <w:rsid w:val="002822E1"/>
    <w:rsid w:val="00283287"/>
    <w:rsid w:val="002834EF"/>
    <w:rsid w:val="0028357F"/>
    <w:rsid w:val="002857EC"/>
    <w:rsid w:val="00286AF1"/>
    <w:rsid w:val="00286F68"/>
    <w:rsid w:val="00287165"/>
    <w:rsid w:val="00287439"/>
    <w:rsid w:val="00287605"/>
    <w:rsid w:val="00290A48"/>
    <w:rsid w:val="0029128E"/>
    <w:rsid w:val="00292640"/>
    <w:rsid w:val="0029391D"/>
    <w:rsid w:val="00293971"/>
    <w:rsid w:val="00293A22"/>
    <w:rsid w:val="002943AD"/>
    <w:rsid w:val="00296176"/>
    <w:rsid w:val="0029660C"/>
    <w:rsid w:val="00297273"/>
    <w:rsid w:val="0029750A"/>
    <w:rsid w:val="002A003E"/>
    <w:rsid w:val="002A0956"/>
    <w:rsid w:val="002A123D"/>
    <w:rsid w:val="002A1829"/>
    <w:rsid w:val="002A2661"/>
    <w:rsid w:val="002A37F5"/>
    <w:rsid w:val="002A391C"/>
    <w:rsid w:val="002A39C8"/>
    <w:rsid w:val="002A41A7"/>
    <w:rsid w:val="002A65EC"/>
    <w:rsid w:val="002A6C78"/>
    <w:rsid w:val="002A6F6B"/>
    <w:rsid w:val="002A7C48"/>
    <w:rsid w:val="002B07BB"/>
    <w:rsid w:val="002B09FD"/>
    <w:rsid w:val="002B0FCD"/>
    <w:rsid w:val="002B13CE"/>
    <w:rsid w:val="002B3473"/>
    <w:rsid w:val="002B35BD"/>
    <w:rsid w:val="002B3C0E"/>
    <w:rsid w:val="002B497A"/>
    <w:rsid w:val="002B4EDE"/>
    <w:rsid w:val="002B4EDF"/>
    <w:rsid w:val="002B5558"/>
    <w:rsid w:val="002B5F85"/>
    <w:rsid w:val="002B677B"/>
    <w:rsid w:val="002B6E59"/>
    <w:rsid w:val="002B7F09"/>
    <w:rsid w:val="002C0809"/>
    <w:rsid w:val="002C1418"/>
    <w:rsid w:val="002C1902"/>
    <w:rsid w:val="002C2A58"/>
    <w:rsid w:val="002C487D"/>
    <w:rsid w:val="002C4CA9"/>
    <w:rsid w:val="002C4CCF"/>
    <w:rsid w:val="002C5000"/>
    <w:rsid w:val="002C5B04"/>
    <w:rsid w:val="002C64B5"/>
    <w:rsid w:val="002C6EA6"/>
    <w:rsid w:val="002C7481"/>
    <w:rsid w:val="002C75D9"/>
    <w:rsid w:val="002C799D"/>
    <w:rsid w:val="002D0830"/>
    <w:rsid w:val="002D09E4"/>
    <w:rsid w:val="002D1517"/>
    <w:rsid w:val="002D2966"/>
    <w:rsid w:val="002D2E5B"/>
    <w:rsid w:val="002D31AE"/>
    <w:rsid w:val="002D37AE"/>
    <w:rsid w:val="002D3C8E"/>
    <w:rsid w:val="002D4AAE"/>
    <w:rsid w:val="002D54CC"/>
    <w:rsid w:val="002D6870"/>
    <w:rsid w:val="002D6A0A"/>
    <w:rsid w:val="002D6A60"/>
    <w:rsid w:val="002D7269"/>
    <w:rsid w:val="002D7D27"/>
    <w:rsid w:val="002E029C"/>
    <w:rsid w:val="002E0A43"/>
    <w:rsid w:val="002E0BB7"/>
    <w:rsid w:val="002E1104"/>
    <w:rsid w:val="002E19F0"/>
    <w:rsid w:val="002E3280"/>
    <w:rsid w:val="002E375C"/>
    <w:rsid w:val="002E3803"/>
    <w:rsid w:val="002E3D09"/>
    <w:rsid w:val="002E4678"/>
    <w:rsid w:val="002E5D65"/>
    <w:rsid w:val="002E6857"/>
    <w:rsid w:val="002E6CE6"/>
    <w:rsid w:val="002E715A"/>
    <w:rsid w:val="002F0F8A"/>
    <w:rsid w:val="002F1A31"/>
    <w:rsid w:val="002F365E"/>
    <w:rsid w:val="002F436E"/>
    <w:rsid w:val="002F4DDA"/>
    <w:rsid w:val="002F5B28"/>
    <w:rsid w:val="002F6FEC"/>
    <w:rsid w:val="002F7A49"/>
    <w:rsid w:val="003004B2"/>
    <w:rsid w:val="00300FD9"/>
    <w:rsid w:val="00301C7B"/>
    <w:rsid w:val="003030B8"/>
    <w:rsid w:val="0030573E"/>
    <w:rsid w:val="003057E1"/>
    <w:rsid w:val="00306EE8"/>
    <w:rsid w:val="00307E73"/>
    <w:rsid w:val="00310517"/>
    <w:rsid w:val="0031075D"/>
    <w:rsid w:val="00310AB5"/>
    <w:rsid w:val="00310DE0"/>
    <w:rsid w:val="00311D50"/>
    <w:rsid w:val="00311E6C"/>
    <w:rsid w:val="00312027"/>
    <w:rsid w:val="0031251C"/>
    <w:rsid w:val="00312737"/>
    <w:rsid w:val="00312A19"/>
    <w:rsid w:val="00312E2F"/>
    <w:rsid w:val="00313373"/>
    <w:rsid w:val="0031585A"/>
    <w:rsid w:val="00315C22"/>
    <w:rsid w:val="00315C2C"/>
    <w:rsid w:val="00315E52"/>
    <w:rsid w:val="00317151"/>
    <w:rsid w:val="003202E7"/>
    <w:rsid w:val="00320F93"/>
    <w:rsid w:val="00321E07"/>
    <w:rsid w:val="003229E0"/>
    <w:rsid w:val="003240DE"/>
    <w:rsid w:val="00325EED"/>
    <w:rsid w:val="00327EBD"/>
    <w:rsid w:val="00330483"/>
    <w:rsid w:val="003307F1"/>
    <w:rsid w:val="003309B0"/>
    <w:rsid w:val="003315F1"/>
    <w:rsid w:val="00332320"/>
    <w:rsid w:val="00332607"/>
    <w:rsid w:val="00332B60"/>
    <w:rsid w:val="00332CD6"/>
    <w:rsid w:val="00332E96"/>
    <w:rsid w:val="0033544B"/>
    <w:rsid w:val="00335B37"/>
    <w:rsid w:val="00336F0A"/>
    <w:rsid w:val="00337691"/>
    <w:rsid w:val="00337F9C"/>
    <w:rsid w:val="003409A6"/>
    <w:rsid w:val="0034131F"/>
    <w:rsid w:val="00341A02"/>
    <w:rsid w:val="00341BE9"/>
    <w:rsid w:val="003434AC"/>
    <w:rsid w:val="00343B10"/>
    <w:rsid w:val="00343E5C"/>
    <w:rsid w:val="00345043"/>
    <w:rsid w:val="00346D31"/>
    <w:rsid w:val="00347006"/>
    <w:rsid w:val="00347065"/>
    <w:rsid w:val="003476A5"/>
    <w:rsid w:val="00347C22"/>
    <w:rsid w:val="00350279"/>
    <w:rsid w:val="00350A39"/>
    <w:rsid w:val="00350F4C"/>
    <w:rsid w:val="00351E58"/>
    <w:rsid w:val="00352788"/>
    <w:rsid w:val="00353076"/>
    <w:rsid w:val="00353B45"/>
    <w:rsid w:val="00356986"/>
    <w:rsid w:val="00356F2A"/>
    <w:rsid w:val="00357210"/>
    <w:rsid w:val="0036183E"/>
    <w:rsid w:val="00362780"/>
    <w:rsid w:val="00362BF0"/>
    <w:rsid w:val="00362D43"/>
    <w:rsid w:val="00363652"/>
    <w:rsid w:val="003639C7"/>
    <w:rsid w:val="00363B53"/>
    <w:rsid w:val="00363EC0"/>
    <w:rsid w:val="00363FDD"/>
    <w:rsid w:val="00364718"/>
    <w:rsid w:val="0036498B"/>
    <w:rsid w:val="003651F0"/>
    <w:rsid w:val="003655F8"/>
    <w:rsid w:val="00365999"/>
    <w:rsid w:val="00365B22"/>
    <w:rsid w:val="0036647C"/>
    <w:rsid w:val="0036665D"/>
    <w:rsid w:val="00366EDD"/>
    <w:rsid w:val="00367B85"/>
    <w:rsid w:val="00371784"/>
    <w:rsid w:val="003719C1"/>
    <w:rsid w:val="00373416"/>
    <w:rsid w:val="00373E15"/>
    <w:rsid w:val="003752CD"/>
    <w:rsid w:val="00376728"/>
    <w:rsid w:val="003767B9"/>
    <w:rsid w:val="00376EED"/>
    <w:rsid w:val="00377330"/>
    <w:rsid w:val="003802BF"/>
    <w:rsid w:val="003802D4"/>
    <w:rsid w:val="003808D4"/>
    <w:rsid w:val="0038105B"/>
    <w:rsid w:val="0038163A"/>
    <w:rsid w:val="003820AA"/>
    <w:rsid w:val="00385809"/>
    <w:rsid w:val="00386446"/>
    <w:rsid w:val="00386F65"/>
    <w:rsid w:val="0039059B"/>
    <w:rsid w:val="00390799"/>
    <w:rsid w:val="00390FBB"/>
    <w:rsid w:val="003910D8"/>
    <w:rsid w:val="00391180"/>
    <w:rsid w:val="003918AB"/>
    <w:rsid w:val="00391C91"/>
    <w:rsid w:val="003933A8"/>
    <w:rsid w:val="00393427"/>
    <w:rsid w:val="00393BED"/>
    <w:rsid w:val="003946F7"/>
    <w:rsid w:val="0039568A"/>
    <w:rsid w:val="00395E12"/>
    <w:rsid w:val="003960B5"/>
    <w:rsid w:val="003968D2"/>
    <w:rsid w:val="00396AC9"/>
    <w:rsid w:val="00396EFE"/>
    <w:rsid w:val="00397BE3"/>
    <w:rsid w:val="00397F61"/>
    <w:rsid w:val="003A0273"/>
    <w:rsid w:val="003A02E8"/>
    <w:rsid w:val="003A10E7"/>
    <w:rsid w:val="003A3079"/>
    <w:rsid w:val="003A3D57"/>
    <w:rsid w:val="003A65BB"/>
    <w:rsid w:val="003A76D4"/>
    <w:rsid w:val="003A7A20"/>
    <w:rsid w:val="003A7AA9"/>
    <w:rsid w:val="003B2A51"/>
    <w:rsid w:val="003B3C41"/>
    <w:rsid w:val="003B4B8E"/>
    <w:rsid w:val="003B59CA"/>
    <w:rsid w:val="003B73F0"/>
    <w:rsid w:val="003B7CFD"/>
    <w:rsid w:val="003B7E8B"/>
    <w:rsid w:val="003C050C"/>
    <w:rsid w:val="003C0F81"/>
    <w:rsid w:val="003C1C25"/>
    <w:rsid w:val="003C2B9E"/>
    <w:rsid w:val="003C3138"/>
    <w:rsid w:val="003C315D"/>
    <w:rsid w:val="003C515F"/>
    <w:rsid w:val="003C5273"/>
    <w:rsid w:val="003C55C2"/>
    <w:rsid w:val="003C67D7"/>
    <w:rsid w:val="003C6B21"/>
    <w:rsid w:val="003C7201"/>
    <w:rsid w:val="003D043F"/>
    <w:rsid w:val="003D04B0"/>
    <w:rsid w:val="003D1500"/>
    <w:rsid w:val="003D1F35"/>
    <w:rsid w:val="003D2612"/>
    <w:rsid w:val="003D2759"/>
    <w:rsid w:val="003D2B99"/>
    <w:rsid w:val="003D4879"/>
    <w:rsid w:val="003D4B95"/>
    <w:rsid w:val="003D532A"/>
    <w:rsid w:val="003D5859"/>
    <w:rsid w:val="003D58A7"/>
    <w:rsid w:val="003D6932"/>
    <w:rsid w:val="003D705C"/>
    <w:rsid w:val="003D7DE8"/>
    <w:rsid w:val="003E00FC"/>
    <w:rsid w:val="003E0292"/>
    <w:rsid w:val="003E03FE"/>
    <w:rsid w:val="003E0951"/>
    <w:rsid w:val="003E12FF"/>
    <w:rsid w:val="003E144A"/>
    <w:rsid w:val="003E1519"/>
    <w:rsid w:val="003E2956"/>
    <w:rsid w:val="003E4648"/>
    <w:rsid w:val="003E60BB"/>
    <w:rsid w:val="003E6CF2"/>
    <w:rsid w:val="003E7AAF"/>
    <w:rsid w:val="003E7C61"/>
    <w:rsid w:val="003F0E98"/>
    <w:rsid w:val="003F10C0"/>
    <w:rsid w:val="003F1144"/>
    <w:rsid w:val="003F3232"/>
    <w:rsid w:val="003F3774"/>
    <w:rsid w:val="003F3A20"/>
    <w:rsid w:val="003F3CB1"/>
    <w:rsid w:val="003F4345"/>
    <w:rsid w:val="003F4EF6"/>
    <w:rsid w:val="003F5919"/>
    <w:rsid w:val="003F5E99"/>
    <w:rsid w:val="003F5EDD"/>
    <w:rsid w:val="003F6024"/>
    <w:rsid w:val="003F69FD"/>
    <w:rsid w:val="003F6C0A"/>
    <w:rsid w:val="003F73F5"/>
    <w:rsid w:val="004000B4"/>
    <w:rsid w:val="004001D6"/>
    <w:rsid w:val="004010F2"/>
    <w:rsid w:val="004014A0"/>
    <w:rsid w:val="00401BDA"/>
    <w:rsid w:val="00401D90"/>
    <w:rsid w:val="00401FE8"/>
    <w:rsid w:val="004034D6"/>
    <w:rsid w:val="00403F43"/>
    <w:rsid w:val="00404069"/>
    <w:rsid w:val="00405470"/>
    <w:rsid w:val="004057F1"/>
    <w:rsid w:val="00405940"/>
    <w:rsid w:val="00406242"/>
    <w:rsid w:val="00406415"/>
    <w:rsid w:val="004070A8"/>
    <w:rsid w:val="004077D4"/>
    <w:rsid w:val="00407A42"/>
    <w:rsid w:val="004115B7"/>
    <w:rsid w:val="00411DC5"/>
    <w:rsid w:val="00411FF0"/>
    <w:rsid w:val="00412047"/>
    <w:rsid w:val="00412129"/>
    <w:rsid w:val="0041314F"/>
    <w:rsid w:val="00413729"/>
    <w:rsid w:val="004137D2"/>
    <w:rsid w:val="00414205"/>
    <w:rsid w:val="004150A0"/>
    <w:rsid w:val="004152E2"/>
    <w:rsid w:val="004161C5"/>
    <w:rsid w:val="00417E84"/>
    <w:rsid w:val="00417F96"/>
    <w:rsid w:val="00420B13"/>
    <w:rsid w:val="00420EAE"/>
    <w:rsid w:val="00421100"/>
    <w:rsid w:val="0042115D"/>
    <w:rsid w:val="0042117A"/>
    <w:rsid w:val="004212C7"/>
    <w:rsid w:val="004212CA"/>
    <w:rsid w:val="00422496"/>
    <w:rsid w:val="0042271D"/>
    <w:rsid w:val="00422FC1"/>
    <w:rsid w:val="00423EE5"/>
    <w:rsid w:val="00425AEB"/>
    <w:rsid w:val="00425DD7"/>
    <w:rsid w:val="00425F3E"/>
    <w:rsid w:val="0042721F"/>
    <w:rsid w:val="00427E60"/>
    <w:rsid w:val="00430787"/>
    <w:rsid w:val="0043079B"/>
    <w:rsid w:val="00430BD1"/>
    <w:rsid w:val="004312CD"/>
    <w:rsid w:val="00431560"/>
    <w:rsid w:val="00432751"/>
    <w:rsid w:val="00432BEE"/>
    <w:rsid w:val="00433A5C"/>
    <w:rsid w:val="00434827"/>
    <w:rsid w:val="00434C44"/>
    <w:rsid w:val="00436108"/>
    <w:rsid w:val="00436F11"/>
    <w:rsid w:val="00437CD3"/>
    <w:rsid w:val="00437D45"/>
    <w:rsid w:val="00440A8B"/>
    <w:rsid w:val="00441311"/>
    <w:rsid w:val="00441370"/>
    <w:rsid w:val="00441C78"/>
    <w:rsid w:val="00441F91"/>
    <w:rsid w:val="0044256E"/>
    <w:rsid w:val="004457F8"/>
    <w:rsid w:val="0044765C"/>
    <w:rsid w:val="00447F89"/>
    <w:rsid w:val="00450208"/>
    <w:rsid w:val="00451ABD"/>
    <w:rsid w:val="004525F7"/>
    <w:rsid w:val="004535E9"/>
    <w:rsid w:val="004536D3"/>
    <w:rsid w:val="004536E7"/>
    <w:rsid w:val="00454A1F"/>
    <w:rsid w:val="00455DCA"/>
    <w:rsid w:val="004561A9"/>
    <w:rsid w:val="00456926"/>
    <w:rsid w:val="00457D06"/>
    <w:rsid w:val="00461CF6"/>
    <w:rsid w:val="00462001"/>
    <w:rsid w:val="004623AE"/>
    <w:rsid w:val="004639BF"/>
    <w:rsid w:val="00463BA6"/>
    <w:rsid w:val="00463FDC"/>
    <w:rsid w:val="00464C0F"/>
    <w:rsid w:val="00466757"/>
    <w:rsid w:val="004702EA"/>
    <w:rsid w:val="004707C5"/>
    <w:rsid w:val="00470A23"/>
    <w:rsid w:val="00471F0D"/>
    <w:rsid w:val="00472604"/>
    <w:rsid w:val="004728F0"/>
    <w:rsid w:val="004729B3"/>
    <w:rsid w:val="00473AEF"/>
    <w:rsid w:val="00473FD0"/>
    <w:rsid w:val="00474463"/>
    <w:rsid w:val="00475CF8"/>
    <w:rsid w:val="00476901"/>
    <w:rsid w:val="00476F52"/>
    <w:rsid w:val="00476FED"/>
    <w:rsid w:val="004771AC"/>
    <w:rsid w:val="004774AC"/>
    <w:rsid w:val="004778F2"/>
    <w:rsid w:val="00480078"/>
    <w:rsid w:val="004806F5"/>
    <w:rsid w:val="0048233F"/>
    <w:rsid w:val="00482E12"/>
    <w:rsid w:val="00483F36"/>
    <w:rsid w:val="00484331"/>
    <w:rsid w:val="0048453A"/>
    <w:rsid w:val="0048501B"/>
    <w:rsid w:val="00485C00"/>
    <w:rsid w:val="00486077"/>
    <w:rsid w:val="004864F4"/>
    <w:rsid w:val="004869F7"/>
    <w:rsid w:val="004878E7"/>
    <w:rsid w:val="0049001B"/>
    <w:rsid w:val="00490650"/>
    <w:rsid w:val="00491613"/>
    <w:rsid w:val="00491E6C"/>
    <w:rsid w:val="00492593"/>
    <w:rsid w:val="00492CBA"/>
    <w:rsid w:val="00492D9B"/>
    <w:rsid w:val="00493093"/>
    <w:rsid w:val="00493217"/>
    <w:rsid w:val="00494208"/>
    <w:rsid w:val="004955D2"/>
    <w:rsid w:val="00495D0E"/>
    <w:rsid w:val="00496C3E"/>
    <w:rsid w:val="00497CE7"/>
    <w:rsid w:val="004A0C7D"/>
    <w:rsid w:val="004A0E38"/>
    <w:rsid w:val="004A0F81"/>
    <w:rsid w:val="004A1389"/>
    <w:rsid w:val="004A17A3"/>
    <w:rsid w:val="004A2588"/>
    <w:rsid w:val="004A3D32"/>
    <w:rsid w:val="004A3E93"/>
    <w:rsid w:val="004A427C"/>
    <w:rsid w:val="004A6756"/>
    <w:rsid w:val="004B153D"/>
    <w:rsid w:val="004B32A9"/>
    <w:rsid w:val="004B34BF"/>
    <w:rsid w:val="004B3FC6"/>
    <w:rsid w:val="004B41E2"/>
    <w:rsid w:val="004B480C"/>
    <w:rsid w:val="004B4BEB"/>
    <w:rsid w:val="004B6C53"/>
    <w:rsid w:val="004B7C89"/>
    <w:rsid w:val="004B7D25"/>
    <w:rsid w:val="004C0D85"/>
    <w:rsid w:val="004C2395"/>
    <w:rsid w:val="004C2D1C"/>
    <w:rsid w:val="004C3063"/>
    <w:rsid w:val="004C37B9"/>
    <w:rsid w:val="004C498E"/>
    <w:rsid w:val="004C4C3B"/>
    <w:rsid w:val="004C4FF1"/>
    <w:rsid w:val="004C5039"/>
    <w:rsid w:val="004C5203"/>
    <w:rsid w:val="004C5C5E"/>
    <w:rsid w:val="004C6673"/>
    <w:rsid w:val="004C73E8"/>
    <w:rsid w:val="004C782B"/>
    <w:rsid w:val="004D072F"/>
    <w:rsid w:val="004D154C"/>
    <w:rsid w:val="004D168B"/>
    <w:rsid w:val="004D1742"/>
    <w:rsid w:val="004D33F1"/>
    <w:rsid w:val="004D43C5"/>
    <w:rsid w:val="004D4AF2"/>
    <w:rsid w:val="004D4BBA"/>
    <w:rsid w:val="004D508A"/>
    <w:rsid w:val="004D56D2"/>
    <w:rsid w:val="004D58F5"/>
    <w:rsid w:val="004D5BE2"/>
    <w:rsid w:val="004D6266"/>
    <w:rsid w:val="004D678C"/>
    <w:rsid w:val="004E07E5"/>
    <w:rsid w:val="004E0F76"/>
    <w:rsid w:val="004E12B6"/>
    <w:rsid w:val="004E195A"/>
    <w:rsid w:val="004E2192"/>
    <w:rsid w:val="004E28AF"/>
    <w:rsid w:val="004E2E9A"/>
    <w:rsid w:val="004E2FC3"/>
    <w:rsid w:val="004E38F6"/>
    <w:rsid w:val="004E3E68"/>
    <w:rsid w:val="004E4060"/>
    <w:rsid w:val="004E4647"/>
    <w:rsid w:val="004E54E8"/>
    <w:rsid w:val="004E5524"/>
    <w:rsid w:val="004E677B"/>
    <w:rsid w:val="004E774A"/>
    <w:rsid w:val="004E78EA"/>
    <w:rsid w:val="004E7E0F"/>
    <w:rsid w:val="004F00AA"/>
    <w:rsid w:val="004F036C"/>
    <w:rsid w:val="004F155B"/>
    <w:rsid w:val="004F28A3"/>
    <w:rsid w:val="004F3819"/>
    <w:rsid w:val="004F3CC0"/>
    <w:rsid w:val="004F48AC"/>
    <w:rsid w:val="004F594B"/>
    <w:rsid w:val="004F6CFF"/>
    <w:rsid w:val="004F6F97"/>
    <w:rsid w:val="004F7FB1"/>
    <w:rsid w:val="005001AC"/>
    <w:rsid w:val="00500E9B"/>
    <w:rsid w:val="00501269"/>
    <w:rsid w:val="00501827"/>
    <w:rsid w:val="00501B5B"/>
    <w:rsid w:val="00502404"/>
    <w:rsid w:val="00502BB9"/>
    <w:rsid w:val="00503DE1"/>
    <w:rsid w:val="005049AC"/>
    <w:rsid w:val="00504C91"/>
    <w:rsid w:val="00505656"/>
    <w:rsid w:val="00506F1E"/>
    <w:rsid w:val="0050713A"/>
    <w:rsid w:val="005071AC"/>
    <w:rsid w:val="00507D18"/>
    <w:rsid w:val="005103FB"/>
    <w:rsid w:val="00510B95"/>
    <w:rsid w:val="00510F82"/>
    <w:rsid w:val="005110A7"/>
    <w:rsid w:val="0051148F"/>
    <w:rsid w:val="005121F3"/>
    <w:rsid w:val="00512AD1"/>
    <w:rsid w:val="005130BC"/>
    <w:rsid w:val="005138DA"/>
    <w:rsid w:val="005139EA"/>
    <w:rsid w:val="00513F03"/>
    <w:rsid w:val="00514CBA"/>
    <w:rsid w:val="005150A6"/>
    <w:rsid w:val="00515303"/>
    <w:rsid w:val="005156C4"/>
    <w:rsid w:val="00516AAC"/>
    <w:rsid w:val="00516E3F"/>
    <w:rsid w:val="0051750D"/>
    <w:rsid w:val="00521DEF"/>
    <w:rsid w:val="00522E7B"/>
    <w:rsid w:val="0052304E"/>
    <w:rsid w:val="0052388E"/>
    <w:rsid w:val="00523CA3"/>
    <w:rsid w:val="00523EE7"/>
    <w:rsid w:val="005245B0"/>
    <w:rsid w:val="00524FDD"/>
    <w:rsid w:val="00525235"/>
    <w:rsid w:val="00525DE2"/>
    <w:rsid w:val="0052618B"/>
    <w:rsid w:val="00527363"/>
    <w:rsid w:val="0052770E"/>
    <w:rsid w:val="00527A60"/>
    <w:rsid w:val="00530B8F"/>
    <w:rsid w:val="00531B90"/>
    <w:rsid w:val="005324BC"/>
    <w:rsid w:val="005339E2"/>
    <w:rsid w:val="00533B0B"/>
    <w:rsid w:val="00533C9B"/>
    <w:rsid w:val="005358DE"/>
    <w:rsid w:val="00535F23"/>
    <w:rsid w:val="0053609B"/>
    <w:rsid w:val="0053652E"/>
    <w:rsid w:val="005375A5"/>
    <w:rsid w:val="00541683"/>
    <w:rsid w:val="00542051"/>
    <w:rsid w:val="00542101"/>
    <w:rsid w:val="00542157"/>
    <w:rsid w:val="0054386A"/>
    <w:rsid w:val="00543A08"/>
    <w:rsid w:val="00544AAF"/>
    <w:rsid w:val="00545365"/>
    <w:rsid w:val="00546642"/>
    <w:rsid w:val="00547E96"/>
    <w:rsid w:val="005502A2"/>
    <w:rsid w:val="00550906"/>
    <w:rsid w:val="00551B3D"/>
    <w:rsid w:val="00551D69"/>
    <w:rsid w:val="00551EAD"/>
    <w:rsid w:val="005523E3"/>
    <w:rsid w:val="00552735"/>
    <w:rsid w:val="00553CD0"/>
    <w:rsid w:val="00554360"/>
    <w:rsid w:val="00554B1B"/>
    <w:rsid w:val="00554D2E"/>
    <w:rsid w:val="00555405"/>
    <w:rsid w:val="0055584B"/>
    <w:rsid w:val="00555DA8"/>
    <w:rsid w:val="005570F1"/>
    <w:rsid w:val="005604EE"/>
    <w:rsid w:val="0056058A"/>
    <w:rsid w:val="00560863"/>
    <w:rsid w:val="00561C66"/>
    <w:rsid w:val="00561FC8"/>
    <w:rsid w:val="00563E23"/>
    <w:rsid w:val="005652F9"/>
    <w:rsid w:val="00567D05"/>
    <w:rsid w:val="005702B2"/>
    <w:rsid w:val="00570AB0"/>
    <w:rsid w:val="00570D43"/>
    <w:rsid w:val="0057152E"/>
    <w:rsid w:val="00571981"/>
    <w:rsid w:val="00572587"/>
    <w:rsid w:val="005736A3"/>
    <w:rsid w:val="00573952"/>
    <w:rsid w:val="00574790"/>
    <w:rsid w:val="00574F90"/>
    <w:rsid w:val="00575B5E"/>
    <w:rsid w:val="005760BF"/>
    <w:rsid w:val="00577DF7"/>
    <w:rsid w:val="005818A5"/>
    <w:rsid w:val="00581B49"/>
    <w:rsid w:val="0058246E"/>
    <w:rsid w:val="00582894"/>
    <w:rsid w:val="00582A40"/>
    <w:rsid w:val="00582A45"/>
    <w:rsid w:val="0058484F"/>
    <w:rsid w:val="0058622F"/>
    <w:rsid w:val="00586662"/>
    <w:rsid w:val="005867E4"/>
    <w:rsid w:val="00586A71"/>
    <w:rsid w:val="00590F63"/>
    <w:rsid w:val="0059123C"/>
    <w:rsid w:val="005929D3"/>
    <w:rsid w:val="0059356B"/>
    <w:rsid w:val="005956AD"/>
    <w:rsid w:val="0059785B"/>
    <w:rsid w:val="0059796A"/>
    <w:rsid w:val="00597BFC"/>
    <w:rsid w:val="005A0468"/>
    <w:rsid w:val="005A1353"/>
    <w:rsid w:val="005A19D3"/>
    <w:rsid w:val="005A23FE"/>
    <w:rsid w:val="005A3515"/>
    <w:rsid w:val="005A39B0"/>
    <w:rsid w:val="005A3E43"/>
    <w:rsid w:val="005A3F3A"/>
    <w:rsid w:val="005A4A5D"/>
    <w:rsid w:val="005A4E63"/>
    <w:rsid w:val="005A754B"/>
    <w:rsid w:val="005A7A52"/>
    <w:rsid w:val="005A7AA0"/>
    <w:rsid w:val="005A7D02"/>
    <w:rsid w:val="005B0266"/>
    <w:rsid w:val="005B24D0"/>
    <w:rsid w:val="005B286F"/>
    <w:rsid w:val="005B2E17"/>
    <w:rsid w:val="005B2ED7"/>
    <w:rsid w:val="005B30E5"/>
    <w:rsid w:val="005B353F"/>
    <w:rsid w:val="005B3964"/>
    <w:rsid w:val="005B3C81"/>
    <w:rsid w:val="005B3F6F"/>
    <w:rsid w:val="005B443E"/>
    <w:rsid w:val="005B4A65"/>
    <w:rsid w:val="005B63A1"/>
    <w:rsid w:val="005B695F"/>
    <w:rsid w:val="005B71B3"/>
    <w:rsid w:val="005B7DD3"/>
    <w:rsid w:val="005C0A44"/>
    <w:rsid w:val="005C23DA"/>
    <w:rsid w:val="005C23F5"/>
    <w:rsid w:val="005C3404"/>
    <w:rsid w:val="005C364D"/>
    <w:rsid w:val="005C3FB1"/>
    <w:rsid w:val="005C427D"/>
    <w:rsid w:val="005C46B4"/>
    <w:rsid w:val="005C4CA7"/>
    <w:rsid w:val="005C51BD"/>
    <w:rsid w:val="005C5571"/>
    <w:rsid w:val="005C5C2D"/>
    <w:rsid w:val="005C6EE1"/>
    <w:rsid w:val="005D0083"/>
    <w:rsid w:val="005D058C"/>
    <w:rsid w:val="005D2BA1"/>
    <w:rsid w:val="005D3BC1"/>
    <w:rsid w:val="005D4D66"/>
    <w:rsid w:val="005D50B4"/>
    <w:rsid w:val="005D6235"/>
    <w:rsid w:val="005D723D"/>
    <w:rsid w:val="005D7460"/>
    <w:rsid w:val="005E141A"/>
    <w:rsid w:val="005E415A"/>
    <w:rsid w:val="005E4169"/>
    <w:rsid w:val="005E5735"/>
    <w:rsid w:val="005E638F"/>
    <w:rsid w:val="005E6ABD"/>
    <w:rsid w:val="005E7204"/>
    <w:rsid w:val="005F0544"/>
    <w:rsid w:val="005F10F9"/>
    <w:rsid w:val="005F137E"/>
    <w:rsid w:val="005F183F"/>
    <w:rsid w:val="005F1BFB"/>
    <w:rsid w:val="005F2C83"/>
    <w:rsid w:val="005F49EE"/>
    <w:rsid w:val="005F4E1B"/>
    <w:rsid w:val="005F6D1E"/>
    <w:rsid w:val="005F6D4C"/>
    <w:rsid w:val="005F7061"/>
    <w:rsid w:val="00600B48"/>
    <w:rsid w:val="00601395"/>
    <w:rsid w:val="00602104"/>
    <w:rsid w:val="00604182"/>
    <w:rsid w:val="00604323"/>
    <w:rsid w:val="00605EC7"/>
    <w:rsid w:val="0060641B"/>
    <w:rsid w:val="00607739"/>
    <w:rsid w:val="00607A7E"/>
    <w:rsid w:val="00610F50"/>
    <w:rsid w:val="0061139D"/>
    <w:rsid w:val="0061152F"/>
    <w:rsid w:val="00611D59"/>
    <w:rsid w:val="006128AD"/>
    <w:rsid w:val="00612A9C"/>
    <w:rsid w:val="00612B5F"/>
    <w:rsid w:val="006139C2"/>
    <w:rsid w:val="00615AA6"/>
    <w:rsid w:val="00616391"/>
    <w:rsid w:val="006165CD"/>
    <w:rsid w:val="00616701"/>
    <w:rsid w:val="00620FFD"/>
    <w:rsid w:val="006227A2"/>
    <w:rsid w:val="0062315C"/>
    <w:rsid w:val="006237B8"/>
    <w:rsid w:val="00623C06"/>
    <w:rsid w:val="00624E1B"/>
    <w:rsid w:val="00624E3E"/>
    <w:rsid w:val="00625B97"/>
    <w:rsid w:val="00625E27"/>
    <w:rsid w:val="006266A7"/>
    <w:rsid w:val="006273CF"/>
    <w:rsid w:val="0062792C"/>
    <w:rsid w:val="00630569"/>
    <w:rsid w:val="0063093D"/>
    <w:rsid w:val="00631B1B"/>
    <w:rsid w:val="006323FA"/>
    <w:rsid w:val="006344E1"/>
    <w:rsid w:val="00634725"/>
    <w:rsid w:val="00636FEC"/>
    <w:rsid w:val="006377BC"/>
    <w:rsid w:val="00637945"/>
    <w:rsid w:val="00640327"/>
    <w:rsid w:val="00641041"/>
    <w:rsid w:val="00641602"/>
    <w:rsid w:val="006418F8"/>
    <w:rsid w:val="00641AF2"/>
    <w:rsid w:val="00641E52"/>
    <w:rsid w:val="0064270F"/>
    <w:rsid w:val="0064276E"/>
    <w:rsid w:val="00642BD6"/>
    <w:rsid w:val="00643D7D"/>
    <w:rsid w:val="00643DE4"/>
    <w:rsid w:val="00646302"/>
    <w:rsid w:val="00650868"/>
    <w:rsid w:val="00650A89"/>
    <w:rsid w:val="00650C07"/>
    <w:rsid w:val="006523DE"/>
    <w:rsid w:val="00653F80"/>
    <w:rsid w:val="00654FA3"/>
    <w:rsid w:val="006556C0"/>
    <w:rsid w:val="00655AA9"/>
    <w:rsid w:val="00656048"/>
    <w:rsid w:val="00656A54"/>
    <w:rsid w:val="00656BD0"/>
    <w:rsid w:val="006603F8"/>
    <w:rsid w:val="00660836"/>
    <w:rsid w:val="0066089B"/>
    <w:rsid w:val="00662A9D"/>
    <w:rsid w:val="006652FC"/>
    <w:rsid w:val="0066563C"/>
    <w:rsid w:val="00665F7F"/>
    <w:rsid w:val="00666263"/>
    <w:rsid w:val="00666441"/>
    <w:rsid w:val="00671951"/>
    <w:rsid w:val="00671A74"/>
    <w:rsid w:val="00672020"/>
    <w:rsid w:val="00672AEC"/>
    <w:rsid w:val="00672B31"/>
    <w:rsid w:val="006736CC"/>
    <w:rsid w:val="00673CB6"/>
    <w:rsid w:val="00673F51"/>
    <w:rsid w:val="00674871"/>
    <w:rsid w:val="0067488F"/>
    <w:rsid w:val="00676351"/>
    <w:rsid w:val="00676C26"/>
    <w:rsid w:val="006771D3"/>
    <w:rsid w:val="00680774"/>
    <w:rsid w:val="006809AE"/>
    <w:rsid w:val="006811A9"/>
    <w:rsid w:val="00681298"/>
    <w:rsid w:val="00681577"/>
    <w:rsid w:val="006819D8"/>
    <w:rsid w:val="00684F2A"/>
    <w:rsid w:val="00686239"/>
    <w:rsid w:val="00687799"/>
    <w:rsid w:val="0069024E"/>
    <w:rsid w:val="006908CF"/>
    <w:rsid w:val="00691C3D"/>
    <w:rsid w:val="00691F23"/>
    <w:rsid w:val="006935A9"/>
    <w:rsid w:val="006939D3"/>
    <w:rsid w:val="0069409E"/>
    <w:rsid w:val="0069476D"/>
    <w:rsid w:val="00694E7A"/>
    <w:rsid w:val="00695124"/>
    <w:rsid w:val="006954AE"/>
    <w:rsid w:val="00695C76"/>
    <w:rsid w:val="00696337"/>
    <w:rsid w:val="00697E84"/>
    <w:rsid w:val="006A03CE"/>
    <w:rsid w:val="006A0A11"/>
    <w:rsid w:val="006A2130"/>
    <w:rsid w:val="006A282D"/>
    <w:rsid w:val="006A2D96"/>
    <w:rsid w:val="006A2E1D"/>
    <w:rsid w:val="006A2F1B"/>
    <w:rsid w:val="006A30D6"/>
    <w:rsid w:val="006A3DB4"/>
    <w:rsid w:val="006A486B"/>
    <w:rsid w:val="006A54CA"/>
    <w:rsid w:val="006A708E"/>
    <w:rsid w:val="006A71EC"/>
    <w:rsid w:val="006B2AD2"/>
    <w:rsid w:val="006B2BA2"/>
    <w:rsid w:val="006B2F41"/>
    <w:rsid w:val="006B2F66"/>
    <w:rsid w:val="006B4444"/>
    <w:rsid w:val="006B4A08"/>
    <w:rsid w:val="006B4E4A"/>
    <w:rsid w:val="006B59FB"/>
    <w:rsid w:val="006B5FA3"/>
    <w:rsid w:val="006B6411"/>
    <w:rsid w:val="006B642B"/>
    <w:rsid w:val="006B6900"/>
    <w:rsid w:val="006B796E"/>
    <w:rsid w:val="006C0252"/>
    <w:rsid w:val="006C05FC"/>
    <w:rsid w:val="006C0A29"/>
    <w:rsid w:val="006C0FA2"/>
    <w:rsid w:val="006C17B8"/>
    <w:rsid w:val="006C19FB"/>
    <w:rsid w:val="006C23CC"/>
    <w:rsid w:val="006C2B90"/>
    <w:rsid w:val="006C336B"/>
    <w:rsid w:val="006C34F9"/>
    <w:rsid w:val="006C4031"/>
    <w:rsid w:val="006C43C2"/>
    <w:rsid w:val="006C507E"/>
    <w:rsid w:val="006C5538"/>
    <w:rsid w:val="006C5785"/>
    <w:rsid w:val="006C58EE"/>
    <w:rsid w:val="006C594A"/>
    <w:rsid w:val="006C6113"/>
    <w:rsid w:val="006C6390"/>
    <w:rsid w:val="006C6C4D"/>
    <w:rsid w:val="006C6F11"/>
    <w:rsid w:val="006C766B"/>
    <w:rsid w:val="006D194A"/>
    <w:rsid w:val="006D2CEC"/>
    <w:rsid w:val="006D3562"/>
    <w:rsid w:val="006D36C3"/>
    <w:rsid w:val="006D5C5C"/>
    <w:rsid w:val="006D73ED"/>
    <w:rsid w:val="006D7794"/>
    <w:rsid w:val="006D7E9B"/>
    <w:rsid w:val="006E0CD2"/>
    <w:rsid w:val="006E16DB"/>
    <w:rsid w:val="006E1B18"/>
    <w:rsid w:val="006E1EF7"/>
    <w:rsid w:val="006E22F4"/>
    <w:rsid w:val="006E2ADB"/>
    <w:rsid w:val="006E2E02"/>
    <w:rsid w:val="006E34F5"/>
    <w:rsid w:val="006E37EF"/>
    <w:rsid w:val="006E382B"/>
    <w:rsid w:val="006E38A7"/>
    <w:rsid w:val="006E390F"/>
    <w:rsid w:val="006E4273"/>
    <w:rsid w:val="006E5543"/>
    <w:rsid w:val="006E6374"/>
    <w:rsid w:val="006E6DA0"/>
    <w:rsid w:val="006E6FA0"/>
    <w:rsid w:val="006E7F9B"/>
    <w:rsid w:val="006F0A71"/>
    <w:rsid w:val="006F0B63"/>
    <w:rsid w:val="006F0C6C"/>
    <w:rsid w:val="006F0E26"/>
    <w:rsid w:val="006F1B05"/>
    <w:rsid w:val="006F2103"/>
    <w:rsid w:val="006F30E0"/>
    <w:rsid w:val="006F56D6"/>
    <w:rsid w:val="006F57B0"/>
    <w:rsid w:val="006F59FD"/>
    <w:rsid w:val="006F647C"/>
    <w:rsid w:val="006F67BD"/>
    <w:rsid w:val="006F71FC"/>
    <w:rsid w:val="00700107"/>
    <w:rsid w:val="00700146"/>
    <w:rsid w:val="007011FC"/>
    <w:rsid w:val="007017C8"/>
    <w:rsid w:val="007020E1"/>
    <w:rsid w:val="00702522"/>
    <w:rsid w:val="007026E4"/>
    <w:rsid w:val="00703A01"/>
    <w:rsid w:val="007045D1"/>
    <w:rsid w:val="00704CB4"/>
    <w:rsid w:val="0070588D"/>
    <w:rsid w:val="00705F4C"/>
    <w:rsid w:val="007063E0"/>
    <w:rsid w:val="007074E4"/>
    <w:rsid w:val="00707C4A"/>
    <w:rsid w:val="007102D8"/>
    <w:rsid w:val="00710758"/>
    <w:rsid w:val="00710800"/>
    <w:rsid w:val="00713152"/>
    <w:rsid w:val="007143D9"/>
    <w:rsid w:val="00714B05"/>
    <w:rsid w:val="00715D8F"/>
    <w:rsid w:val="00716959"/>
    <w:rsid w:val="00716A66"/>
    <w:rsid w:val="00716AF3"/>
    <w:rsid w:val="00720537"/>
    <w:rsid w:val="0072067B"/>
    <w:rsid w:val="00720731"/>
    <w:rsid w:val="0072080B"/>
    <w:rsid w:val="00721CC6"/>
    <w:rsid w:val="00721E63"/>
    <w:rsid w:val="00722037"/>
    <w:rsid w:val="00723A54"/>
    <w:rsid w:val="00723D0B"/>
    <w:rsid w:val="00723DE0"/>
    <w:rsid w:val="007242B9"/>
    <w:rsid w:val="00724F8B"/>
    <w:rsid w:val="00725889"/>
    <w:rsid w:val="00725A83"/>
    <w:rsid w:val="00726926"/>
    <w:rsid w:val="00726B98"/>
    <w:rsid w:val="007278C9"/>
    <w:rsid w:val="0073193F"/>
    <w:rsid w:val="00731C57"/>
    <w:rsid w:val="00731EDF"/>
    <w:rsid w:val="00731F31"/>
    <w:rsid w:val="007323B4"/>
    <w:rsid w:val="00732871"/>
    <w:rsid w:val="0073526A"/>
    <w:rsid w:val="007356D5"/>
    <w:rsid w:val="00735BE3"/>
    <w:rsid w:val="007366A4"/>
    <w:rsid w:val="007366CB"/>
    <w:rsid w:val="0073723A"/>
    <w:rsid w:val="00737DC8"/>
    <w:rsid w:val="00737E3A"/>
    <w:rsid w:val="00737EA6"/>
    <w:rsid w:val="007409A2"/>
    <w:rsid w:val="007424BD"/>
    <w:rsid w:val="007426F8"/>
    <w:rsid w:val="0074326C"/>
    <w:rsid w:val="007436E2"/>
    <w:rsid w:val="007443B9"/>
    <w:rsid w:val="007468EA"/>
    <w:rsid w:val="0074732F"/>
    <w:rsid w:val="0074768C"/>
    <w:rsid w:val="0075055E"/>
    <w:rsid w:val="007508A7"/>
    <w:rsid w:val="007516D6"/>
    <w:rsid w:val="007517F0"/>
    <w:rsid w:val="007532EC"/>
    <w:rsid w:val="00753AFE"/>
    <w:rsid w:val="00754E46"/>
    <w:rsid w:val="0075562C"/>
    <w:rsid w:val="00755822"/>
    <w:rsid w:val="00755FC7"/>
    <w:rsid w:val="007565EC"/>
    <w:rsid w:val="0075661C"/>
    <w:rsid w:val="00756D44"/>
    <w:rsid w:val="00757C24"/>
    <w:rsid w:val="00757D0B"/>
    <w:rsid w:val="007615E7"/>
    <w:rsid w:val="0076191C"/>
    <w:rsid w:val="007619D6"/>
    <w:rsid w:val="00762159"/>
    <w:rsid w:val="00762309"/>
    <w:rsid w:val="00762776"/>
    <w:rsid w:val="0076377B"/>
    <w:rsid w:val="00763B96"/>
    <w:rsid w:val="00763BF1"/>
    <w:rsid w:val="00764340"/>
    <w:rsid w:val="007647D9"/>
    <w:rsid w:val="007649BC"/>
    <w:rsid w:val="007670D6"/>
    <w:rsid w:val="0076753B"/>
    <w:rsid w:val="00770051"/>
    <w:rsid w:val="0077015E"/>
    <w:rsid w:val="00770736"/>
    <w:rsid w:val="00770B32"/>
    <w:rsid w:val="00771509"/>
    <w:rsid w:val="00771AB9"/>
    <w:rsid w:val="00771FE6"/>
    <w:rsid w:val="00775911"/>
    <w:rsid w:val="00775DB2"/>
    <w:rsid w:val="00775DCD"/>
    <w:rsid w:val="00776002"/>
    <w:rsid w:val="00777FB5"/>
    <w:rsid w:val="007821BB"/>
    <w:rsid w:val="00782684"/>
    <w:rsid w:val="00782FBC"/>
    <w:rsid w:val="00783CED"/>
    <w:rsid w:val="00784214"/>
    <w:rsid w:val="007849DF"/>
    <w:rsid w:val="00786172"/>
    <w:rsid w:val="007864AD"/>
    <w:rsid w:val="00786576"/>
    <w:rsid w:val="007926D5"/>
    <w:rsid w:val="00793EE3"/>
    <w:rsid w:val="007940A3"/>
    <w:rsid w:val="0079432F"/>
    <w:rsid w:val="0079489F"/>
    <w:rsid w:val="00794A02"/>
    <w:rsid w:val="00794FEE"/>
    <w:rsid w:val="007952C4"/>
    <w:rsid w:val="00795B84"/>
    <w:rsid w:val="00795BA4"/>
    <w:rsid w:val="00795BAA"/>
    <w:rsid w:val="00795FAC"/>
    <w:rsid w:val="007962D6"/>
    <w:rsid w:val="0079677C"/>
    <w:rsid w:val="00796E8A"/>
    <w:rsid w:val="00797085"/>
    <w:rsid w:val="007974F1"/>
    <w:rsid w:val="007A04F6"/>
    <w:rsid w:val="007A09C3"/>
    <w:rsid w:val="007A12EF"/>
    <w:rsid w:val="007A1717"/>
    <w:rsid w:val="007A1EE7"/>
    <w:rsid w:val="007A23E2"/>
    <w:rsid w:val="007A305D"/>
    <w:rsid w:val="007A338F"/>
    <w:rsid w:val="007A3D06"/>
    <w:rsid w:val="007A3F78"/>
    <w:rsid w:val="007A4724"/>
    <w:rsid w:val="007A47A6"/>
    <w:rsid w:val="007A4BB4"/>
    <w:rsid w:val="007A595A"/>
    <w:rsid w:val="007A67AF"/>
    <w:rsid w:val="007A6E27"/>
    <w:rsid w:val="007A6E78"/>
    <w:rsid w:val="007A76F6"/>
    <w:rsid w:val="007B2003"/>
    <w:rsid w:val="007B208F"/>
    <w:rsid w:val="007B2353"/>
    <w:rsid w:val="007B271B"/>
    <w:rsid w:val="007B2976"/>
    <w:rsid w:val="007B2B8E"/>
    <w:rsid w:val="007B2BA5"/>
    <w:rsid w:val="007B32F8"/>
    <w:rsid w:val="007B4BE3"/>
    <w:rsid w:val="007B4E57"/>
    <w:rsid w:val="007B5406"/>
    <w:rsid w:val="007B550B"/>
    <w:rsid w:val="007B5A12"/>
    <w:rsid w:val="007B6BBD"/>
    <w:rsid w:val="007B7054"/>
    <w:rsid w:val="007B72FA"/>
    <w:rsid w:val="007B78B8"/>
    <w:rsid w:val="007C236A"/>
    <w:rsid w:val="007C3DA0"/>
    <w:rsid w:val="007C4962"/>
    <w:rsid w:val="007C7E09"/>
    <w:rsid w:val="007D09DB"/>
    <w:rsid w:val="007D19C7"/>
    <w:rsid w:val="007D3A91"/>
    <w:rsid w:val="007D3D3F"/>
    <w:rsid w:val="007D4945"/>
    <w:rsid w:val="007D64A9"/>
    <w:rsid w:val="007D7128"/>
    <w:rsid w:val="007D7751"/>
    <w:rsid w:val="007D7918"/>
    <w:rsid w:val="007E09E2"/>
    <w:rsid w:val="007E0D44"/>
    <w:rsid w:val="007E0DAC"/>
    <w:rsid w:val="007E1A97"/>
    <w:rsid w:val="007E3A04"/>
    <w:rsid w:val="007E4ADA"/>
    <w:rsid w:val="007E4EF5"/>
    <w:rsid w:val="007E54D4"/>
    <w:rsid w:val="007E5A58"/>
    <w:rsid w:val="007E6E7E"/>
    <w:rsid w:val="007E7766"/>
    <w:rsid w:val="007E7933"/>
    <w:rsid w:val="007F00CC"/>
    <w:rsid w:val="007F04F6"/>
    <w:rsid w:val="007F2032"/>
    <w:rsid w:val="007F2301"/>
    <w:rsid w:val="007F2656"/>
    <w:rsid w:val="007F309D"/>
    <w:rsid w:val="007F5BBE"/>
    <w:rsid w:val="007F5ECB"/>
    <w:rsid w:val="007F682F"/>
    <w:rsid w:val="007F7369"/>
    <w:rsid w:val="007F7BAD"/>
    <w:rsid w:val="00800E8A"/>
    <w:rsid w:val="00801256"/>
    <w:rsid w:val="00801F58"/>
    <w:rsid w:val="00801FAD"/>
    <w:rsid w:val="00801FEE"/>
    <w:rsid w:val="008021F0"/>
    <w:rsid w:val="008029FF"/>
    <w:rsid w:val="00803218"/>
    <w:rsid w:val="008038AC"/>
    <w:rsid w:val="00803B72"/>
    <w:rsid w:val="008041CC"/>
    <w:rsid w:val="008041E6"/>
    <w:rsid w:val="00804D08"/>
    <w:rsid w:val="00804DBA"/>
    <w:rsid w:val="0080597A"/>
    <w:rsid w:val="00805C44"/>
    <w:rsid w:val="00806D0F"/>
    <w:rsid w:val="00806DBD"/>
    <w:rsid w:val="00806EE8"/>
    <w:rsid w:val="008077C5"/>
    <w:rsid w:val="00810405"/>
    <w:rsid w:val="00810958"/>
    <w:rsid w:val="00810D3F"/>
    <w:rsid w:val="00811074"/>
    <w:rsid w:val="008121AA"/>
    <w:rsid w:val="00812803"/>
    <w:rsid w:val="00812D04"/>
    <w:rsid w:val="0081395D"/>
    <w:rsid w:val="008167E9"/>
    <w:rsid w:val="008169C1"/>
    <w:rsid w:val="008169DA"/>
    <w:rsid w:val="008175DB"/>
    <w:rsid w:val="00817869"/>
    <w:rsid w:val="00817B07"/>
    <w:rsid w:val="00821320"/>
    <w:rsid w:val="008213B2"/>
    <w:rsid w:val="00821F7E"/>
    <w:rsid w:val="008222B7"/>
    <w:rsid w:val="00822863"/>
    <w:rsid w:val="0082311C"/>
    <w:rsid w:val="00824978"/>
    <w:rsid w:val="0082528B"/>
    <w:rsid w:val="008254FC"/>
    <w:rsid w:val="008256D4"/>
    <w:rsid w:val="00825724"/>
    <w:rsid w:val="008259E7"/>
    <w:rsid w:val="00826093"/>
    <w:rsid w:val="008266DE"/>
    <w:rsid w:val="00826826"/>
    <w:rsid w:val="0082794B"/>
    <w:rsid w:val="00827D20"/>
    <w:rsid w:val="008304A3"/>
    <w:rsid w:val="00830AB3"/>
    <w:rsid w:val="00831471"/>
    <w:rsid w:val="00831AB4"/>
    <w:rsid w:val="0083396A"/>
    <w:rsid w:val="0083404B"/>
    <w:rsid w:val="008348A1"/>
    <w:rsid w:val="00834A91"/>
    <w:rsid w:val="008352F6"/>
    <w:rsid w:val="00836394"/>
    <w:rsid w:val="00836619"/>
    <w:rsid w:val="008410AB"/>
    <w:rsid w:val="0084142B"/>
    <w:rsid w:val="00841ADF"/>
    <w:rsid w:val="00842626"/>
    <w:rsid w:val="00842F4B"/>
    <w:rsid w:val="0084354F"/>
    <w:rsid w:val="00844660"/>
    <w:rsid w:val="00844C64"/>
    <w:rsid w:val="008460E2"/>
    <w:rsid w:val="00846308"/>
    <w:rsid w:val="00846F42"/>
    <w:rsid w:val="00847406"/>
    <w:rsid w:val="00847CD6"/>
    <w:rsid w:val="00847D47"/>
    <w:rsid w:val="00850B8B"/>
    <w:rsid w:val="0085170A"/>
    <w:rsid w:val="00851892"/>
    <w:rsid w:val="00852057"/>
    <w:rsid w:val="00852537"/>
    <w:rsid w:val="0085288F"/>
    <w:rsid w:val="008528EC"/>
    <w:rsid w:val="00853B87"/>
    <w:rsid w:val="00854FA3"/>
    <w:rsid w:val="00855A93"/>
    <w:rsid w:val="00855B8B"/>
    <w:rsid w:val="00855FBC"/>
    <w:rsid w:val="0086138D"/>
    <w:rsid w:val="00862FDD"/>
    <w:rsid w:val="00863A49"/>
    <w:rsid w:val="00863B11"/>
    <w:rsid w:val="00864001"/>
    <w:rsid w:val="00865D78"/>
    <w:rsid w:val="00866233"/>
    <w:rsid w:val="00866BDD"/>
    <w:rsid w:val="00866D87"/>
    <w:rsid w:val="00866F33"/>
    <w:rsid w:val="00867F8F"/>
    <w:rsid w:val="00870FCC"/>
    <w:rsid w:val="00871F45"/>
    <w:rsid w:val="0087261C"/>
    <w:rsid w:val="00872872"/>
    <w:rsid w:val="00873322"/>
    <w:rsid w:val="00874DAD"/>
    <w:rsid w:val="00875F8C"/>
    <w:rsid w:val="00876152"/>
    <w:rsid w:val="008767F5"/>
    <w:rsid w:val="00877AC4"/>
    <w:rsid w:val="00881203"/>
    <w:rsid w:val="00881560"/>
    <w:rsid w:val="00881752"/>
    <w:rsid w:val="008819D6"/>
    <w:rsid w:val="00882182"/>
    <w:rsid w:val="008827CD"/>
    <w:rsid w:val="00884EFB"/>
    <w:rsid w:val="008853ED"/>
    <w:rsid w:val="0088562E"/>
    <w:rsid w:val="00885A36"/>
    <w:rsid w:val="00887728"/>
    <w:rsid w:val="00890094"/>
    <w:rsid w:val="00890749"/>
    <w:rsid w:val="008916F4"/>
    <w:rsid w:val="00892CF9"/>
    <w:rsid w:val="0089303A"/>
    <w:rsid w:val="00893E22"/>
    <w:rsid w:val="00894080"/>
    <w:rsid w:val="00897E60"/>
    <w:rsid w:val="008A02B0"/>
    <w:rsid w:val="008A0EEC"/>
    <w:rsid w:val="008A2902"/>
    <w:rsid w:val="008A3012"/>
    <w:rsid w:val="008A3069"/>
    <w:rsid w:val="008A3AA1"/>
    <w:rsid w:val="008A3B1A"/>
    <w:rsid w:val="008A3D0D"/>
    <w:rsid w:val="008A5B0D"/>
    <w:rsid w:val="008A5FB6"/>
    <w:rsid w:val="008A7258"/>
    <w:rsid w:val="008B09FB"/>
    <w:rsid w:val="008B1F4E"/>
    <w:rsid w:val="008B2EF3"/>
    <w:rsid w:val="008B457D"/>
    <w:rsid w:val="008B4CD7"/>
    <w:rsid w:val="008B552A"/>
    <w:rsid w:val="008B59CE"/>
    <w:rsid w:val="008B5CD9"/>
    <w:rsid w:val="008B5E4D"/>
    <w:rsid w:val="008B6EDB"/>
    <w:rsid w:val="008C03BD"/>
    <w:rsid w:val="008C1BAE"/>
    <w:rsid w:val="008C204A"/>
    <w:rsid w:val="008C2A90"/>
    <w:rsid w:val="008C2B1D"/>
    <w:rsid w:val="008C4584"/>
    <w:rsid w:val="008C5412"/>
    <w:rsid w:val="008C5BB0"/>
    <w:rsid w:val="008C61EF"/>
    <w:rsid w:val="008C755A"/>
    <w:rsid w:val="008C7881"/>
    <w:rsid w:val="008C7E5A"/>
    <w:rsid w:val="008D1DEB"/>
    <w:rsid w:val="008D3401"/>
    <w:rsid w:val="008D3643"/>
    <w:rsid w:val="008D4038"/>
    <w:rsid w:val="008D466B"/>
    <w:rsid w:val="008D46FC"/>
    <w:rsid w:val="008D489C"/>
    <w:rsid w:val="008D4AF9"/>
    <w:rsid w:val="008D50F4"/>
    <w:rsid w:val="008D5BFF"/>
    <w:rsid w:val="008D5EE4"/>
    <w:rsid w:val="008D6477"/>
    <w:rsid w:val="008D6BD6"/>
    <w:rsid w:val="008E16C6"/>
    <w:rsid w:val="008E1D67"/>
    <w:rsid w:val="008E30BA"/>
    <w:rsid w:val="008E30F6"/>
    <w:rsid w:val="008E3F2D"/>
    <w:rsid w:val="008E4880"/>
    <w:rsid w:val="008E4AF4"/>
    <w:rsid w:val="008E5057"/>
    <w:rsid w:val="008E5A99"/>
    <w:rsid w:val="008E6464"/>
    <w:rsid w:val="008E665C"/>
    <w:rsid w:val="008E70F1"/>
    <w:rsid w:val="008E7488"/>
    <w:rsid w:val="008F1C13"/>
    <w:rsid w:val="008F20ED"/>
    <w:rsid w:val="008F28F6"/>
    <w:rsid w:val="008F2C69"/>
    <w:rsid w:val="008F2F0D"/>
    <w:rsid w:val="008F2F77"/>
    <w:rsid w:val="008F4455"/>
    <w:rsid w:val="008F4EDC"/>
    <w:rsid w:val="008F53DB"/>
    <w:rsid w:val="008F5496"/>
    <w:rsid w:val="008F596B"/>
    <w:rsid w:val="008F5ED1"/>
    <w:rsid w:val="008F5F22"/>
    <w:rsid w:val="008F7299"/>
    <w:rsid w:val="00900395"/>
    <w:rsid w:val="00900416"/>
    <w:rsid w:val="00900866"/>
    <w:rsid w:val="00901085"/>
    <w:rsid w:val="009012AA"/>
    <w:rsid w:val="00901B16"/>
    <w:rsid w:val="009020E8"/>
    <w:rsid w:val="00902102"/>
    <w:rsid w:val="009027C8"/>
    <w:rsid w:val="00902BC9"/>
    <w:rsid w:val="00902E0A"/>
    <w:rsid w:val="009030BE"/>
    <w:rsid w:val="009039E9"/>
    <w:rsid w:val="00904170"/>
    <w:rsid w:val="009056D7"/>
    <w:rsid w:val="00905B1F"/>
    <w:rsid w:val="0090603C"/>
    <w:rsid w:val="00906F23"/>
    <w:rsid w:val="00906F50"/>
    <w:rsid w:val="0090725A"/>
    <w:rsid w:val="00911DC3"/>
    <w:rsid w:val="00911F4D"/>
    <w:rsid w:val="00915469"/>
    <w:rsid w:val="0091728F"/>
    <w:rsid w:val="00917BA7"/>
    <w:rsid w:val="00917D44"/>
    <w:rsid w:val="009206E5"/>
    <w:rsid w:val="00921654"/>
    <w:rsid w:val="00921914"/>
    <w:rsid w:val="0092272B"/>
    <w:rsid w:val="00923958"/>
    <w:rsid w:val="0092418C"/>
    <w:rsid w:val="009249C7"/>
    <w:rsid w:val="009252CE"/>
    <w:rsid w:val="009254F5"/>
    <w:rsid w:val="00925EE8"/>
    <w:rsid w:val="0093002E"/>
    <w:rsid w:val="0093070C"/>
    <w:rsid w:val="00930E81"/>
    <w:rsid w:val="00930FA6"/>
    <w:rsid w:val="0093151C"/>
    <w:rsid w:val="00931685"/>
    <w:rsid w:val="00931E65"/>
    <w:rsid w:val="00931EBC"/>
    <w:rsid w:val="00933253"/>
    <w:rsid w:val="00933FE1"/>
    <w:rsid w:val="0093453F"/>
    <w:rsid w:val="00935510"/>
    <w:rsid w:val="00936024"/>
    <w:rsid w:val="00936411"/>
    <w:rsid w:val="0093696D"/>
    <w:rsid w:val="009370B5"/>
    <w:rsid w:val="009410FA"/>
    <w:rsid w:val="009414C8"/>
    <w:rsid w:val="00941747"/>
    <w:rsid w:val="00941C8F"/>
    <w:rsid w:val="00942087"/>
    <w:rsid w:val="00942175"/>
    <w:rsid w:val="00942265"/>
    <w:rsid w:val="00942BF9"/>
    <w:rsid w:val="00942E15"/>
    <w:rsid w:val="009447D4"/>
    <w:rsid w:val="009452B2"/>
    <w:rsid w:val="0094569E"/>
    <w:rsid w:val="009467C1"/>
    <w:rsid w:val="009470CD"/>
    <w:rsid w:val="00947321"/>
    <w:rsid w:val="00950487"/>
    <w:rsid w:val="00950D51"/>
    <w:rsid w:val="009512D7"/>
    <w:rsid w:val="009522BD"/>
    <w:rsid w:val="00952570"/>
    <w:rsid w:val="00952A81"/>
    <w:rsid w:val="00952ACD"/>
    <w:rsid w:val="009532B1"/>
    <w:rsid w:val="009540A8"/>
    <w:rsid w:val="00954567"/>
    <w:rsid w:val="00954A04"/>
    <w:rsid w:val="00954A40"/>
    <w:rsid w:val="00954C33"/>
    <w:rsid w:val="00954FF8"/>
    <w:rsid w:val="0095503A"/>
    <w:rsid w:val="009559B9"/>
    <w:rsid w:val="009563C3"/>
    <w:rsid w:val="00957C58"/>
    <w:rsid w:val="00960110"/>
    <w:rsid w:val="00961602"/>
    <w:rsid w:val="00962732"/>
    <w:rsid w:val="0096275C"/>
    <w:rsid w:val="00962ABF"/>
    <w:rsid w:val="00962D98"/>
    <w:rsid w:val="00962FB1"/>
    <w:rsid w:val="0096380B"/>
    <w:rsid w:val="00963EDA"/>
    <w:rsid w:val="0096429D"/>
    <w:rsid w:val="00964D51"/>
    <w:rsid w:val="009657F4"/>
    <w:rsid w:val="00966A69"/>
    <w:rsid w:val="00967418"/>
    <w:rsid w:val="00967ECE"/>
    <w:rsid w:val="00971A86"/>
    <w:rsid w:val="00973172"/>
    <w:rsid w:val="009731E6"/>
    <w:rsid w:val="00973C98"/>
    <w:rsid w:val="00975018"/>
    <w:rsid w:val="009756F2"/>
    <w:rsid w:val="00976365"/>
    <w:rsid w:val="00977C1F"/>
    <w:rsid w:val="00977E43"/>
    <w:rsid w:val="00980295"/>
    <w:rsid w:val="00980A13"/>
    <w:rsid w:val="00981D2C"/>
    <w:rsid w:val="0098222C"/>
    <w:rsid w:val="00982DF8"/>
    <w:rsid w:val="00983694"/>
    <w:rsid w:val="00983DDB"/>
    <w:rsid w:val="00983DFB"/>
    <w:rsid w:val="009853D4"/>
    <w:rsid w:val="00986638"/>
    <w:rsid w:val="009868BB"/>
    <w:rsid w:val="00987394"/>
    <w:rsid w:val="00987CB2"/>
    <w:rsid w:val="009903F1"/>
    <w:rsid w:val="00991727"/>
    <w:rsid w:val="00992CAB"/>
    <w:rsid w:val="009938D1"/>
    <w:rsid w:val="00993C04"/>
    <w:rsid w:val="0099436A"/>
    <w:rsid w:val="009949B8"/>
    <w:rsid w:val="0099688B"/>
    <w:rsid w:val="00996D97"/>
    <w:rsid w:val="0099707A"/>
    <w:rsid w:val="009978BB"/>
    <w:rsid w:val="009A0213"/>
    <w:rsid w:val="009A030E"/>
    <w:rsid w:val="009A0988"/>
    <w:rsid w:val="009A1572"/>
    <w:rsid w:val="009A1F15"/>
    <w:rsid w:val="009A257A"/>
    <w:rsid w:val="009B09B6"/>
    <w:rsid w:val="009B0E2A"/>
    <w:rsid w:val="009B124E"/>
    <w:rsid w:val="009B1625"/>
    <w:rsid w:val="009B249F"/>
    <w:rsid w:val="009B28D1"/>
    <w:rsid w:val="009B2AA2"/>
    <w:rsid w:val="009B2C98"/>
    <w:rsid w:val="009B4B21"/>
    <w:rsid w:val="009B789A"/>
    <w:rsid w:val="009B792E"/>
    <w:rsid w:val="009C15B7"/>
    <w:rsid w:val="009C182D"/>
    <w:rsid w:val="009C25C3"/>
    <w:rsid w:val="009C4054"/>
    <w:rsid w:val="009C5DB4"/>
    <w:rsid w:val="009C67DC"/>
    <w:rsid w:val="009C6B7A"/>
    <w:rsid w:val="009D064D"/>
    <w:rsid w:val="009D124D"/>
    <w:rsid w:val="009D1E5B"/>
    <w:rsid w:val="009D1EA0"/>
    <w:rsid w:val="009D1FA7"/>
    <w:rsid w:val="009D2344"/>
    <w:rsid w:val="009D2760"/>
    <w:rsid w:val="009D2F77"/>
    <w:rsid w:val="009D39BB"/>
    <w:rsid w:val="009D39CB"/>
    <w:rsid w:val="009D3BB9"/>
    <w:rsid w:val="009D5A2E"/>
    <w:rsid w:val="009D5E90"/>
    <w:rsid w:val="009D6CFA"/>
    <w:rsid w:val="009D6F06"/>
    <w:rsid w:val="009D6FC0"/>
    <w:rsid w:val="009D76FA"/>
    <w:rsid w:val="009E1540"/>
    <w:rsid w:val="009E2F6D"/>
    <w:rsid w:val="009E2FA7"/>
    <w:rsid w:val="009E38B5"/>
    <w:rsid w:val="009E3958"/>
    <w:rsid w:val="009E3DCB"/>
    <w:rsid w:val="009E4EDB"/>
    <w:rsid w:val="009E52C0"/>
    <w:rsid w:val="009E5384"/>
    <w:rsid w:val="009E5761"/>
    <w:rsid w:val="009E6A2D"/>
    <w:rsid w:val="009E6D51"/>
    <w:rsid w:val="009F0EB4"/>
    <w:rsid w:val="009F4957"/>
    <w:rsid w:val="009F6534"/>
    <w:rsid w:val="009F7B65"/>
    <w:rsid w:val="00A0193E"/>
    <w:rsid w:val="00A026C2"/>
    <w:rsid w:val="00A03AB3"/>
    <w:rsid w:val="00A03CE7"/>
    <w:rsid w:val="00A0478A"/>
    <w:rsid w:val="00A04CFD"/>
    <w:rsid w:val="00A0695F"/>
    <w:rsid w:val="00A10C32"/>
    <w:rsid w:val="00A10E8E"/>
    <w:rsid w:val="00A11936"/>
    <w:rsid w:val="00A13B01"/>
    <w:rsid w:val="00A14036"/>
    <w:rsid w:val="00A16857"/>
    <w:rsid w:val="00A17BFF"/>
    <w:rsid w:val="00A17C74"/>
    <w:rsid w:val="00A2085B"/>
    <w:rsid w:val="00A21305"/>
    <w:rsid w:val="00A21CEE"/>
    <w:rsid w:val="00A21E4E"/>
    <w:rsid w:val="00A22724"/>
    <w:rsid w:val="00A22821"/>
    <w:rsid w:val="00A23053"/>
    <w:rsid w:val="00A24267"/>
    <w:rsid w:val="00A24839"/>
    <w:rsid w:val="00A249D1"/>
    <w:rsid w:val="00A24BA4"/>
    <w:rsid w:val="00A2509D"/>
    <w:rsid w:val="00A26CD5"/>
    <w:rsid w:val="00A26E0F"/>
    <w:rsid w:val="00A27F9D"/>
    <w:rsid w:val="00A30D03"/>
    <w:rsid w:val="00A330DE"/>
    <w:rsid w:val="00A334D0"/>
    <w:rsid w:val="00A34194"/>
    <w:rsid w:val="00A342C1"/>
    <w:rsid w:val="00A34457"/>
    <w:rsid w:val="00A35683"/>
    <w:rsid w:val="00A35D47"/>
    <w:rsid w:val="00A3627F"/>
    <w:rsid w:val="00A3629C"/>
    <w:rsid w:val="00A365F1"/>
    <w:rsid w:val="00A368A0"/>
    <w:rsid w:val="00A36CA5"/>
    <w:rsid w:val="00A3781C"/>
    <w:rsid w:val="00A4041D"/>
    <w:rsid w:val="00A408CD"/>
    <w:rsid w:val="00A41014"/>
    <w:rsid w:val="00A41C5A"/>
    <w:rsid w:val="00A4261A"/>
    <w:rsid w:val="00A44126"/>
    <w:rsid w:val="00A44709"/>
    <w:rsid w:val="00A44E7F"/>
    <w:rsid w:val="00A47631"/>
    <w:rsid w:val="00A476C7"/>
    <w:rsid w:val="00A506C9"/>
    <w:rsid w:val="00A515A9"/>
    <w:rsid w:val="00A52007"/>
    <w:rsid w:val="00A52835"/>
    <w:rsid w:val="00A528F0"/>
    <w:rsid w:val="00A52D78"/>
    <w:rsid w:val="00A52E4D"/>
    <w:rsid w:val="00A5444C"/>
    <w:rsid w:val="00A571A2"/>
    <w:rsid w:val="00A57E2D"/>
    <w:rsid w:val="00A60200"/>
    <w:rsid w:val="00A6045B"/>
    <w:rsid w:val="00A605B6"/>
    <w:rsid w:val="00A62313"/>
    <w:rsid w:val="00A623FA"/>
    <w:rsid w:val="00A63130"/>
    <w:rsid w:val="00A63963"/>
    <w:rsid w:val="00A6417A"/>
    <w:rsid w:val="00A642F2"/>
    <w:rsid w:val="00A642F4"/>
    <w:rsid w:val="00A6437F"/>
    <w:rsid w:val="00A651B3"/>
    <w:rsid w:val="00A67B29"/>
    <w:rsid w:val="00A70480"/>
    <w:rsid w:val="00A70F0D"/>
    <w:rsid w:val="00A71663"/>
    <w:rsid w:val="00A730DF"/>
    <w:rsid w:val="00A73549"/>
    <w:rsid w:val="00A73623"/>
    <w:rsid w:val="00A73D30"/>
    <w:rsid w:val="00A742E6"/>
    <w:rsid w:val="00A7448E"/>
    <w:rsid w:val="00A744DB"/>
    <w:rsid w:val="00A74561"/>
    <w:rsid w:val="00A7471E"/>
    <w:rsid w:val="00A75436"/>
    <w:rsid w:val="00A75EF6"/>
    <w:rsid w:val="00A763FB"/>
    <w:rsid w:val="00A76672"/>
    <w:rsid w:val="00A77C91"/>
    <w:rsid w:val="00A80285"/>
    <w:rsid w:val="00A812F6"/>
    <w:rsid w:val="00A816B6"/>
    <w:rsid w:val="00A81749"/>
    <w:rsid w:val="00A81DF8"/>
    <w:rsid w:val="00A823E2"/>
    <w:rsid w:val="00A83DAC"/>
    <w:rsid w:val="00A83EE4"/>
    <w:rsid w:val="00A844F3"/>
    <w:rsid w:val="00A849E1"/>
    <w:rsid w:val="00A84E42"/>
    <w:rsid w:val="00A8662B"/>
    <w:rsid w:val="00A87F33"/>
    <w:rsid w:val="00A91281"/>
    <w:rsid w:val="00A93537"/>
    <w:rsid w:val="00A93B9E"/>
    <w:rsid w:val="00A93F4E"/>
    <w:rsid w:val="00A95952"/>
    <w:rsid w:val="00A95FDD"/>
    <w:rsid w:val="00A974DE"/>
    <w:rsid w:val="00A97F9D"/>
    <w:rsid w:val="00AA2488"/>
    <w:rsid w:val="00AA2A57"/>
    <w:rsid w:val="00AA2ACE"/>
    <w:rsid w:val="00AA2BDF"/>
    <w:rsid w:val="00AA4C8E"/>
    <w:rsid w:val="00AA5494"/>
    <w:rsid w:val="00AA5C79"/>
    <w:rsid w:val="00AA6A95"/>
    <w:rsid w:val="00AA722F"/>
    <w:rsid w:val="00AA77AA"/>
    <w:rsid w:val="00AB002E"/>
    <w:rsid w:val="00AB1088"/>
    <w:rsid w:val="00AB17AE"/>
    <w:rsid w:val="00AB1ECD"/>
    <w:rsid w:val="00AB1F90"/>
    <w:rsid w:val="00AB2BB0"/>
    <w:rsid w:val="00AB2BEE"/>
    <w:rsid w:val="00AB2E5C"/>
    <w:rsid w:val="00AB2F60"/>
    <w:rsid w:val="00AB31EA"/>
    <w:rsid w:val="00AB3255"/>
    <w:rsid w:val="00AB33AA"/>
    <w:rsid w:val="00AB3A06"/>
    <w:rsid w:val="00AB3A93"/>
    <w:rsid w:val="00AB3C1D"/>
    <w:rsid w:val="00AB5342"/>
    <w:rsid w:val="00AB5BB8"/>
    <w:rsid w:val="00AB60BA"/>
    <w:rsid w:val="00AB6897"/>
    <w:rsid w:val="00AB6DFC"/>
    <w:rsid w:val="00AB74B4"/>
    <w:rsid w:val="00AB7D90"/>
    <w:rsid w:val="00AC1B5C"/>
    <w:rsid w:val="00AC3A54"/>
    <w:rsid w:val="00AC3F25"/>
    <w:rsid w:val="00AC471E"/>
    <w:rsid w:val="00AC5090"/>
    <w:rsid w:val="00AC59D8"/>
    <w:rsid w:val="00AC696B"/>
    <w:rsid w:val="00AC75BE"/>
    <w:rsid w:val="00AD1C08"/>
    <w:rsid w:val="00AD24BD"/>
    <w:rsid w:val="00AD25C6"/>
    <w:rsid w:val="00AD329D"/>
    <w:rsid w:val="00AD4E09"/>
    <w:rsid w:val="00AD53DC"/>
    <w:rsid w:val="00AD5FDB"/>
    <w:rsid w:val="00AD6DBD"/>
    <w:rsid w:val="00AD71CF"/>
    <w:rsid w:val="00AD774F"/>
    <w:rsid w:val="00AD7B0B"/>
    <w:rsid w:val="00AE0DF8"/>
    <w:rsid w:val="00AE16A3"/>
    <w:rsid w:val="00AE2C30"/>
    <w:rsid w:val="00AE3305"/>
    <w:rsid w:val="00AE4424"/>
    <w:rsid w:val="00AE4524"/>
    <w:rsid w:val="00AE483E"/>
    <w:rsid w:val="00AE49D5"/>
    <w:rsid w:val="00AE4B7E"/>
    <w:rsid w:val="00AE56D6"/>
    <w:rsid w:val="00AE61C3"/>
    <w:rsid w:val="00AE64CC"/>
    <w:rsid w:val="00AE7AFB"/>
    <w:rsid w:val="00AF1ABD"/>
    <w:rsid w:val="00AF311C"/>
    <w:rsid w:val="00AF33E6"/>
    <w:rsid w:val="00AF4A84"/>
    <w:rsid w:val="00AF4F70"/>
    <w:rsid w:val="00AF4FFC"/>
    <w:rsid w:val="00AF6E04"/>
    <w:rsid w:val="00AF7A23"/>
    <w:rsid w:val="00AF7AA3"/>
    <w:rsid w:val="00AF7CDE"/>
    <w:rsid w:val="00AF7FF6"/>
    <w:rsid w:val="00B00997"/>
    <w:rsid w:val="00B01DED"/>
    <w:rsid w:val="00B02DB1"/>
    <w:rsid w:val="00B030CD"/>
    <w:rsid w:val="00B044DB"/>
    <w:rsid w:val="00B0478E"/>
    <w:rsid w:val="00B04B0C"/>
    <w:rsid w:val="00B05183"/>
    <w:rsid w:val="00B05A29"/>
    <w:rsid w:val="00B05F19"/>
    <w:rsid w:val="00B070E1"/>
    <w:rsid w:val="00B07362"/>
    <w:rsid w:val="00B07AB3"/>
    <w:rsid w:val="00B07DDF"/>
    <w:rsid w:val="00B11078"/>
    <w:rsid w:val="00B1122D"/>
    <w:rsid w:val="00B12290"/>
    <w:rsid w:val="00B1249A"/>
    <w:rsid w:val="00B13187"/>
    <w:rsid w:val="00B13512"/>
    <w:rsid w:val="00B13E89"/>
    <w:rsid w:val="00B15886"/>
    <w:rsid w:val="00B1704E"/>
    <w:rsid w:val="00B20098"/>
    <w:rsid w:val="00B209A0"/>
    <w:rsid w:val="00B20A79"/>
    <w:rsid w:val="00B21204"/>
    <w:rsid w:val="00B22244"/>
    <w:rsid w:val="00B23C23"/>
    <w:rsid w:val="00B24C94"/>
    <w:rsid w:val="00B25F9B"/>
    <w:rsid w:val="00B26575"/>
    <w:rsid w:val="00B26E41"/>
    <w:rsid w:val="00B271C4"/>
    <w:rsid w:val="00B278C9"/>
    <w:rsid w:val="00B279DA"/>
    <w:rsid w:val="00B27B04"/>
    <w:rsid w:val="00B27FFE"/>
    <w:rsid w:val="00B30C75"/>
    <w:rsid w:val="00B313F5"/>
    <w:rsid w:val="00B32D76"/>
    <w:rsid w:val="00B33144"/>
    <w:rsid w:val="00B339C7"/>
    <w:rsid w:val="00B33F30"/>
    <w:rsid w:val="00B360E4"/>
    <w:rsid w:val="00B36462"/>
    <w:rsid w:val="00B36CEE"/>
    <w:rsid w:val="00B37DF8"/>
    <w:rsid w:val="00B409A7"/>
    <w:rsid w:val="00B40B59"/>
    <w:rsid w:val="00B41C42"/>
    <w:rsid w:val="00B41D98"/>
    <w:rsid w:val="00B441DF"/>
    <w:rsid w:val="00B45ED5"/>
    <w:rsid w:val="00B46758"/>
    <w:rsid w:val="00B47354"/>
    <w:rsid w:val="00B475BC"/>
    <w:rsid w:val="00B47850"/>
    <w:rsid w:val="00B50E11"/>
    <w:rsid w:val="00B51132"/>
    <w:rsid w:val="00B5282B"/>
    <w:rsid w:val="00B528EA"/>
    <w:rsid w:val="00B53671"/>
    <w:rsid w:val="00B53D20"/>
    <w:rsid w:val="00B54E54"/>
    <w:rsid w:val="00B550FC"/>
    <w:rsid w:val="00B56646"/>
    <w:rsid w:val="00B56C9D"/>
    <w:rsid w:val="00B57681"/>
    <w:rsid w:val="00B57A3E"/>
    <w:rsid w:val="00B6042F"/>
    <w:rsid w:val="00B608F2"/>
    <w:rsid w:val="00B60E68"/>
    <w:rsid w:val="00B6115C"/>
    <w:rsid w:val="00B6221F"/>
    <w:rsid w:val="00B643D0"/>
    <w:rsid w:val="00B64CA3"/>
    <w:rsid w:val="00B64F52"/>
    <w:rsid w:val="00B652D5"/>
    <w:rsid w:val="00B65A28"/>
    <w:rsid w:val="00B66A84"/>
    <w:rsid w:val="00B66BE3"/>
    <w:rsid w:val="00B671F3"/>
    <w:rsid w:val="00B674EF"/>
    <w:rsid w:val="00B70AD3"/>
    <w:rsid w:val="00B70C2F"/>
    <w:rsid w:val="00B71665"/>
    <w:rsid w:val="00B7266D"/>
    <w:rsid w:val="00B72B83"/>
    <w:rsid w:val="00B731F6"/>
    <w:rsid w:val="00B763D0"/>
    <w:rsid w:val="00B76863"/>
    <w:rsid w:val="00B8015A"/>
    <w:rsid w:val="00B8031F"/>
    <w:rsid w:val="00B80881"/>
    <w:rsid w:val="00B80B5E"/>
    <w:rsid w:val="00B80BA1"/>
    <w:rsid w:val="00B821B8"/>
    <w:rsid w:val="00B8292E"/>
    <w:rsid w:val="00B83280"/>
    <w:rsid w:val="00B85973"/>
    <w:rsid w:val="00B85D17"/>
    <w:rsid w:val="00B86EF5"/>
    <w:rsid w:val="00B8703A"/>
    <w:rsid w:val="00B874B5"/>
    <w:rsid w:val="00B8760C"/>
    <w:rsid w:val="00B90EA8"/>
    <w:rsid w:val="00B912D0"/>
    <w:rsid w:val="00B918EB"/>
    <w:rsid w:val="00B9293B"/>
    <w:rsid w:val="00B92E13"/>
    <w:rsid w:val="00B92E8B"/>
    <w:rsid w:val="00B933B6"/>
    <w:rsid w:val="00B947CC"/>
    <w:rsid w:val="00B95A43"/>
    <w:rsid w:val="00B95F79"/>
    <w:rsid w:val="00B96788"/>
    <w:rsid w:val="00B96814"/>
    <w:rsid w:val="00B97F94"/>
    <w:rsid w:val="00BA0ABC"/>
    <w:rsid w:val="00BA0D8B"/>
    <w:rsid w:val="00BA148D"/>
    <w:rsid w:val="00BA21B7"/>
    <w:rsid w:val="00BA3E00"/>
    <w:rsid w:val="00BA441A"/>
    <w:rsid w:val="00BA4F2D"/>
    <w:rsid w:val="00BB0961"/>
    <w:rsid w:val="00BB0B41"/>
    <w:rsid w:val="00BB1154"/>
    <w:rsid w:val="00BB21E9"/>
    <w:rsid w:val="00BB2C27"/>
    <w:rsid w:val="00BB4512"/>
    <w:rsid w:val="00BB59C6"/>
    <w:rsid w:val="00BB623B"/>
    <w:rsid w:val="00BB781B"/>
    <w:rsid w:val="00BC00A4"/>
    <w:rsid w:val="00BC09AA"/>
    <w:rsid w:val="00BC1272"/>
    <w:rsid w:val="00BC1612"/>
    <w:rsid w:val="00BC185A"/>
    <w:rsid w:val="00BC2A52"/>
    <w:rsid w:val="00BC3172"/>
    <w:rsid w:val="00BC371F"/>
    <w:rsid w:val="00BC3A1D"/>
    <w:rsid w:val="00BC3BB9"/>
    <w:rsid w:val="00BC3BE9"/>
    <w:rsid w:val="00BC3CF5"/>
    <w:rsid w:val="00BC4EA6"/>
    <w:rsid w:val="00BC5264"/>
    <w:rsid w:val="00BC59ED"/>
    <w:rsid w:val="00BC5C33"/>
    <w:rsid w:val="00BC5DAC"/>
    <w:rsid w:val="00BC64F8"/>
    <w:rsid w:val="00BC6910"/>
    <w:rsid w:val="00BC6CBD"/>
    <w:rsid w:val="00BC7CB4"/>
    <w:rsid w:val="00BC7D66"/>
    <w:rsid w:val="00BD0C65"/>
    <w:rsid w:val="00BD18AA"/>
    <w:rsid w:val="00BD25F3"/>
    <w:rsid w:val="00BD26FD"/>
    <w:rsid w:val="00BD2E74"/>
    <w:rsid w:val="00BD2EDE"/>
    <w:rsid w:val="00BD32E2"/>
    <w:rsid w:val="00BD3804"/>
    <w:rsid w:val="00BD3A54"/>
    <w:rsid w:val="00BD46F7"/>
    <w:rsid w:val="00BD5EA8"/>
    <w:rsid w:val="00BD7566"/>
    <w:rsid w:val="00BD75E5"/>
    <w:rsid w:val="00BE0010"/>
    <w:rsid w:val="00BE0ADF"/>
    <w:rsid w:val="00BE0F79"/>
    <w:rsid w:val="00BE1417"/>
    <w:rsid w:val="00BE15B2"/>
    <w:rsid w:val="00BE24AE"/>
    <w:rsid w:val="00BE3D04"/>
    <w:rsid w:val="00BE5116"/>
    <w:rsid w:val="00BE606F"/>
    <w:rsid w:val="00BE68DF"/>
    <w:rsid w:val="00BE6CC0"/>
    <w:rsid w:val="00BE7580"/>
    <w:rsid w:val="00BE7963"/>
    <w:rsid w:val="00BE7B31"/>
    <w:rsid w:val="00BF0264"/>
    <w:rsid w:val="00BF0B5A"/>
    <w:rsid w:val="00BF0D4E"/>
    <w:rsid w:val="00BF194B"/>
    <w:rsid w:val="00BF28D0"/>
    <w:rsid w:val="00BF2D1D"/>
    <w:rsid w:val="00BF33CE"/>
    <w:rsid w:val="00BF4078"/>
    <w:rsid w:val="00BF4C71"/>
    <w:rsid w:val="00BF4CE4"/>
    <w:rsid w:val="00BF5DB1"/>
    <w:rsid w:val="00BF6585"/>
    <w:rsid w:val="00BF6A7A"/>
    <w:rsid w:val="00BF6AF5"/>
    <w:rsid w:val="00BF6E11"/>
    <w:rsid w:val="00BF7E80"/>
    <w:rsid w:val="00C00E8F"/>
    <w:rsid w:val="00C0197B"/>
    <w:rsid w:val="00C01C11"/>
    <w:rsid w:val="00C020EC"/>
    <w:rsid w:val="00C02185"/>
    <w:rsid w:val="00C02B4C"/>
    <w:rsid w:val="00C03395"/>
    <w:rsid w:val="00C0598E"/>
    <w:rsid w:val="00C068F5"/>
    <w:rsid w:val="00C07418"/>
    <w:rsid w:val="00C076E6"/>
    <w:rsid w:val="00C0794D"/>
    <w:rsid w:val="00C10845"/>
    <w:rsid w:val="00C10C50"/>
    <w:rsid w:val="00C10ED1"/>
    <w:rsid w:val="00C11AC9"/>
    <w:rsid w:val="00C15873"/>
    <w:rsid w:val="00C163E7"/>
    <w:rsid w:val="00C165B0"/>
    <w:rsid w:val="00C16FD6"/>
    <w:rsid w:val="00C171EA"/>
    <w:rsid w:val="00C21DA2"/>
    <w:rsid w:val="00C21E8B"/>
    <w:rsid w:val="00C225E8"/>
    <w:rsid w:val="00C22A84"/>
    <w:rsid w:val="00C22E68"/>
    <w:rsid w:val="00C23846"/>
    <w:rsid w:val="00C24C8A"/>
    <w:rsid w:val="00C24D3B"/>
    <w:rsid w:val="00C25591"/>
    <w:rsid w:val="00C25B8E"/>
    <w:rsid w:val="00C25E0D"/>
    <w:rsid w:val="00C27715"/>
    <w:rsid w:val="00C27B3B"/>
    <w:rsid w:val="00C30EA2"/>
    <w:rsid w:val="00C347FC"/>
    <w:rsid w:val="00C35389"/>
    <w:rsid w:val="00C3584C"/>
    <w:rsid w:val="00C3665B"/>
    <w:rsid w:val="00C37057"/>
    <w:rsid w:val="00C37872"/>
    <w:rsid w:val="00C40EEE"/>
    <w:rsid w:val="00C4291D"/>
    <w:rsid w:val="00C43D84"/>
    <w:rsid w:val="00C447CA"/>
    <w:rsid w:val="00C44F3B"/>
    <w:rsid w:val="00C4618B"/>
    <w:rsid w:val="00C46FC2"/>
    <w:rsid w:val="00C47174"/>
    <w:rsid w:val="00C5003A"/>
    <w:rsid w:val="00C50644"/>
    <w:rsid w:val="00C51E89"/>
    <w:rsid w:val="00C52623"/>
    <w:rsid w:val="00C536C6"/>
    <w:rsid w:val="00C54470"/>
    <w:rsid w:val="00C54A75"/>
    <w:rsid w:val="00C552BA"/>
    <w:rsid w:val="00C55A7E"/>
    <w:rsid w:val="00C569E7"/>
    <w:rsid w:val="00C56ACF"/>
    <w:rsid w:val="00C57484"/>
    <w:rsid w:val="00C6015F"/>
    <w:rsid w:val="00C60603"/>
    <w:rsid w:val="00C60CFA"/>
    <w:rsid w:val="00C6254C"/>
    <w:rsid w:val="00C630C7"/>
    <w:rsid w:val="00C6363C"/>
    <w:rsid w:val="00C643DD"/>
    <w:rsid w:val="00C64670"/>
    <w:rsid w:val="00C65579"/>
    <w:rsid w:val="00C67450"/>
    <w:rsid w:val="00C676B7"/>
    <w:rsid w:val="00C70105"/>
    <w:rsid w:val="00C701F3"/>
    <w:rsid w:val="00C703C2"/>
    <w:rsid w:val="00C70526"/>
    <w:rsid w:val="00C705E0"/>
    <w:rsid w:val="00C70663"/>
    <w:rsid w:val="00C70C38"/>
    <w:rsid w:val="00C71371"/>
    <w:rsid w:val="00C724DF"/>
    <w:rsid w:val="00C7303E"/>
    <w:rsid w:val="00C732C1"/>
    <w:rsid w:val="00C7331E"/>
    <w:rsid w:val="00C75B81"/>
    <w:rsid w:val="00C777F8"/>
    <w:rsid w:val="00C80AD8"/>
    <w:rsid w:val="00C81C80"/>
    <w:rsid w:val="00C82377"/>
    <w:rsid w:val="00C83B03"/>
    <w:rsid w:val="00C83D70"/>
    <w:rsid w:val="00C84318"/>
    <w:rsid w:val="00C86084"/>
    <w:rsid w:val="00C86B99"/>
    <w:rsid w:val="00C86C9E"/>
    <w:rsid w:val="00C87322"/>
    <w:rsid w:val="00C876AC"/>
    <w:rsid w:val="00C91ADA"/>
    <w:rsid w:val="00C93208"/>
    <w:rsid w:val="00C9536A"/>
    <w:rsid w:val="00C9542C"/>
    <w:rsid w:val="00C959AA"/>
    <w:rsid w:val="00C95D43"/>
    <w:rsid w:val="00C95D98"/>
    <w:rsid w:val="00C9608A"/>
    <w:rsid w:val="00C96A4F"/>
    <w:rsid w:val="00C97670"/>
    <w:rsid w:val="00C97977"/>
    <w:rsid w:val="00CA04AC"/>
    <w:rsid w:val="00CA0A5B"/>
    <w:rsid w:val="00CA1149"/>
    <w:rsid w:val="00CA1E48"/>
    <w:rsid w:val="00CA28E9"/>
    <w:rsid w:val="00CA349F"/>
    <w:rsid w:val="00CA3A37"/>
    <w:rsid w:val="00CA4317"/>
    <w:rsid w:val="00CA50FA"/>
    <w:rsid w:val="00CA516B"/>
    <w:rsid w:val="00CA5261"/>
    <w:rsid w:val="00CA593E"/>
    <w:rsid w:val="00CA5F97"/>
    <w:rsid w:val="00CA689E"/>
    <w:rsid w:val="00CB0C4A"/>
    <w:rsid w:val="00CB0D13"/>
    <w:rsid w:val="00CB0EC8"/>
    <w:rsid w:val="00CB0FB1"/>
    <w:rsid w:val="00CB17DC"/>
    <w:rsid w:val="00CB18D4"/>
    <w:rsid w:val="00CB270D"/>
    <w:rsid w:val="00CB3062"/>
    <w:rsid w:val="00CB4F18"/>
    <w:rsid w:val="00CB5285"/>
    <w:rsid w:val="00CB5C53"/>
    <w:rsid w:val="00CB67F1"/>
    <w:rsid w:val="00CB6C20"/>
    <w:rsid w:val="00CB7B5F"/>
    <w:rsid w:val="00CC003D"/>
    <w:rsid w:val="00CC020D"/>
    <w:rsid w:val="00CC0576"/>
    <w:rsid w:val="00CC1F49"/>
    <w:rsid w:val="00CC354E"/>
    <w:rsid w:val="00CC39FD"/>
    <w:rsid w:val="00CC4E8C"/>
    <w:rsid w:val="00CC5434"/>
    <w:rsid w:val="00CC5633"/>
    <w:rsid w:val="00CC65CD"/>
    <w:rsid w:val="00CC7977"/>
    <w:rsid w:val="00CD06C3"/>
    <w:rsid w:val="00CD1171"/>
    <w:rsid w:val="00CD22AF"/>
    <w:rsid w:val="00CD29AC"/>
    <w:rsid w:val="00CD46FF"/>
    <w:rsid w:val="00CD5827"/>
    <w:rsid w:val="00CD5F74"/>
    <w:rsid w:val="00CD6BE2"/>
    <w:rsid w:val="00CD6E5A"/>
    <w:rsid w:val="00CD787E"/>
    <w:rsid w:val="00CD7929"/>
    <w:rsid w:val="00CE00BD"/>
    <w:rsid w:val="00CE0852"/>
    <w:rsid w:val="00CE1512"/>
    <w:rsid w:val="00CE3FC8"/>
    <w:rsid w:val="00CE50A0"/>
    <w:rsid w:val="00CE59B0"/>
    <w:rsid w:val="00CE629C"/>
    <w:rsid w:val="00CE70F2"/>
    <w:rsid w:val="00CE7139"/>
    <w:rsid w:val="00CE7B3B"/>
    <w:rsid w:val="00CF0697"/>
    <w:rsid w:val="00CF06EE"/>
    <w:rsid w:val="00CF0F36"/>
    <w:rsid w:val="00CF1210"/>
    <w:rsid w:val="00CF1C57"/>
    <w:rsid w:val="00CF253C"/>
    <w:rsid w:val="00CF2B65"/>
    <w:rsid w:val="00CF2FF8"/>
    <w:rsid w:val="00CF366E"/>
    <w:rsid w:val="00CF391F"/>
    <w:rsid w:val="00CF40AF"/>
    <w:rsid w:val="00CF51E1"/>
    <w:rsid w:val="00CF6090"/>
    <w:rsid w:val="00CF6AFB"/>
    <w:rsid w:val="00CF752B"/>
    <w:rsid w:val="00CF7653"/>
    <w:rsid w:val="00D00309"/>
    <w:rsid w:val="00D0127F"/>
    <w:rsid w:val="00D0138D"/>
    <w:rsid w:val="00D01A12"/>
    <w:rsid w:val="00D01E8B"/>
    <w:rsid w:val="00D01EE8"/>
    <w:rsid w:val="00D022EF"/>
    <w:rsid w:val="00D032FB"/>
    <w:rsid w:val="00D03BB0"/>
    <w:rsid w:val="00D03F1A"/>
    <w:rsid w:val="00D046CC"/>
    <w:rsid w:val="00D056D1"/>
    <w:rsid w:val="00D0592B"/>
    <w:rsid w:val="00D06247"/>
    <w:rsid w:val="00D06FAB"/>
    <w:rsid w:val="00D10082"/>
    <w:rsid w:val="00D10693"/>
    <w:rsid w:val="00D106BD"/>
    <w:rsid w:val="00D1111B"/>
    <w:rsid w:val="00D123DA"/>
    <w:rsid w:val="00D12C1A"/>
    <w:rsid w:val="00D1313C"/>
    <w:rsid w:val="00D137F4"/>
    <w:rsid w:val="00D13CC5"/>
    <w:rsid w:val="00D15089"/>
    <w:rsid w:val="00D15745"/>
    <w:rsid w:val="00D1594A"/>
    <w:rsid w:val="00D16ACC"/>
    <w:rsid w:val="00D16FB0"/>
    <w:rsid w:val="00D1750D"/>
    <w:rsid w:val="00D1765C"/>
    <w:rsid w:val="00D17EC5"/>
    <w:rsid w:val="00D204EB"/>
    <w:rsid w:val="00D20FFF"/>
    <w:rsid w:val="00D21A72"/>
    <w:rsid w:val="00D21DC0"/>
    <w:rsid w:val="00D22DA2"/>
    <w:rsid w:val="00D22EC9"/>
    <w:rsid w:val="00D23506"/>
    <w:rsid w:val="00D23627"/>
    <w:rsid w:val="00D236D2"/>
    <w:rsid w:val="00D236D6"/>
    <w:rsid w:val="00D23A0F"/>
    <w:rsid w:val="00D23D55"/>
    <w:rsid w:val="00D24AED"/>
    <w:rsid w:val="00D25ADB"/>
    <w:rsid w:val="00D26D25"/>
    <w:rsid w:val="00D27850"/>
    <w:rsid w:val="00D2795F"/>
    <w:rsid w:val="00D27E9D"/>
    <w:rsid w:val="00D30C76"/>
    <w:rsid w:val="00D31183"/>
    <w:rsid w:val="00D31642"/>
    <w:rsid w:val="00D328D1"/>
    <w:rsid w:val="00D32AEA"/>
    <w:rsid w:val="00D32B7E"/>
    <w:rsid w:val="00D32D40"/>
    <w:rsid w:val="00D33C8D"/>
    <w:rsid w:val="00D33D4C"/>
    <w:rsid w:val="00D344C5"/>
    <w:rsid w:val="00D34E53"/>
    <w:rsid w:val="00D34F26"/>
    <w:rsid w:val="00D35F68"/>
    <w:rsid w:val="00D36A34"/>
    <w:rsid w:val="00D36B0A"/>
    <w:rsid w:val="00D36CB1"/>
    <w:rsid w:val="00D37280"/>
    <w:rsid w:val="00D4051B"/>
    <w:rsid w:val="00D40D93"/>
    <w:rsid w:val="00D41931"/>
    <w:rsid w:val="00D4344B"/>
    <w:rsid w:val="00D43896"/>
    <w:rsid w:val="00D441F1"/>
    <w:rsid w:val="00D44513"/>
    <w:rsid w:val="00D4452C"/>
    <w:rsid w:val="00D44F13"/>
    <w:rsid w:val="00D45801"/>
    <w:rsid w:val="00D458DF"/>
    <w:rsid w:val="00D46E10"/>
    <w:rsid w:val="00D47550"/>
    <w:rsid w:val="00D47F88"/>
    <w:rsid w:val="00D507B9"/>
    <w:rsid w:val="00D5087B"/>
    <w:rsid w:val="00D5138B"/>
    <w:rsid w:val="00D516AE"/>
    <w:rsid w:val="00D51D69"/>
    <w:rsid w:val="00D51EA5"/>
    <w:rsid w:val="00D53666"/>
    <w:rsid w:val="00D53EF5"/>
    <w:rsid w:val="00D54416"/>
    <w:rsid w:val="00D54CB9"/>
    <w:rsid w:val="00D54D19"/>
    <w:rsid w:val="00D55231"/>
    <w:rsid w:val="00D5523E"/>
    <w:rsid w:val="00D56C2E"/>
    <w:rsid w:val="00D57750"/>
    <w:rsid w:val="00D577C9"/>
    <w:rsid w:val="00D57D52"/>
    <w:rsid w:val="00D612E9"/>
    <w:rsid w:val="00D6181A"/>
    <w:rsid w:val="00D61B93"/>
    <w:rsid w:val="00D62494"/>
    <w:rsid w:val="00D6288B"/>
    <w:rsid w:val="00D6389C"/>
    <w:rsid w:val="00D6442A"/>
    <w:rsid w:val="00D64817"/>
    <w:rsid w:val="00D6568B"/>
    <w:rsid w:val="00D6571B"/>
    <w:rsid w:val="00D65826"/>
    <w:rsid w:val="00D66A0C"/>
    <w:rsid w:val="00D67449"/>
    <w:rsid w:val="00D67B2B"/>
    <w:rsid w:val="00D67C39"/>
    <w:rsid w:val="00D67D9C"/>
    <w:rsid w:val="00D706D8"/>
    <w:rsid w:val="00D707D3"/>
    <w:rsid w:val="00D7219F"/>
    <w:rsid w:val="00D725E7"/>
    <w:rsid w:val="00D73B16"/>
    <w:rsid w:val="00D74962"/>
    <w:rsid w:val="00D7667C"/>
    <w:rsid w:val="00D768E8"/>
    <w:rsid w:val="00D769BE"/>
    <w:rsid w:val="00D77AE8"/>
    <w:rsid w:val="00D802DC"/>
    <w:rsid w:val="00D828E9"/>
    <w:rsid w:val="00D8313C"/>
    <w:rsid w:val="00D831E5"/>
    <w:rsid w:val="00D84641"/>
    <w:rsid w:val="00D84739"/>
    <w:rsid w:val="00D84CC2"/>
    <w:rsid w:val="00D84F73"/>
    <w:rsid w:val="00D857D7"/>
    <w:rsid w:val="00D86EAD"/>
    <w:rsid w:val="00D87B72"/>
    <w:rsid w:val="00D87DA1"/>
    <w:rsid w:val="00D90127"/>
    <w:rsid w:val="00D9096C"/>
    <w:rsid w:val="00D90A82"/>
    <w:rsid w:val="00D91FB3"/>
    <w:rsid w:val="00D929FF"/>
    <w:rsid w:val="00D933AE"/>
    <w:rsid w:val="00D933E6"/>
    <w:rsid w:val="00D9393F"/>
    <w:rsid w:val="00D93A0D"/>
    <w:rsid w:val="00D9454A"/>
    <w:rsid w:val="00D94827"/>
    <w:rsid w:val="00D965C1"/>
    <w:rsid w:val="00D97488"/>
    <w:rsid w:val="00DA15DF"/>
    <w:rsid w:val="00DA1847"/>
    <w:rsid w:val="00DA1879"/>
    <w:rsid w:val="00DA1CD0"/>
    <w:rsid w:val="00DA2084"/>
    <w:rsid w:val="00DA2723"/>
    <w:rsid w:val="00DA2A67"/>
    <w:rsid w:val="00DA344F"/>
    <w:rsid w:val="00DA465C"/>
    <w:rsid w:val="00DA4ABA"/>
    <w:rsid w:val="00DA62D5"/>
    <w:rsid w:val="00DA64D7"/>
    <w:rsid w:val="00DA766B"/>
    <w:rsid w:val="00DA7918"/>
    <w:rsid w:val="00DB0871"/>
    <w:rsid w:val="00DB0CD5"/>
    <w:rsid w:val="00DB1251"/>
    <w:rsid w:val="00DB3DEA"/>
    <w:rsid w:val="00DB3F25"/>
    <w:rsid w:val="00DB4B03"/>
    <w:rsid w:val="00DB4C28"/>
    <w:rsid w:val="00DB4FC7"/>
    <w:rsid w:val="00DB5551"/>
    <w:rsid w:val="00DB61FE"/>
    <w:rsid w:val="00DB7120"/>
    <w:rsid w:val="00DB77C4"/>
    <w:rsid w:val="00DB7BA7"/>
    <w:rsid w:val="00DC049F"/>
    <w:rsid w:val="00DC0637"/>
    <w:rsid w:val="00DC0BEA"/>
    <w:rsid w:val="00DC17D0"/>
    <w:rsid w:val="00DC2802"/>
    <w:rsid w:val="00DC2863"/>
    <w:rsid w:val="00DC2C6D"/>
    <w:rsid w:val="00DC334B"/>
    <w:rsid w:val="00DC347E"/>
    <w:rsid w:val="00DC3A77"/>
    <w:rsid w:val="00DC3D47"/>
    <w:rsid w:val="00DC3D94"/>
    <w:rsid w:val="00DC3DA7"/>
    <w:rsid w:val="00DC4178"/>
    <w:rsid w:val="00DC47F7"/>
    <w:rsid w:val="00DC5028"/>
    <w:rsid w:val="00DC67C8"/>
    <w:rsid w:val="00DC6CBA"/>
    <w:rsid w:val="00DC709B"/>
    <w:rsid w:val="00DC7AAE"/>
    <w:rsid w:val="00DC7D80"/>
    <w:rsid w:val="00DD0AD1"/>
    <w:rsid w:val="00DD12E2"/>
    <w:rsid w:val="00DD14CE"/>
    <w:rsid w:val="00DD156A"/>
    <w:rsid w:val="00DD27E1"/>
    <w:rsid w:val="00DD4976"/>
    <w:rsid w:val="00DD55A0"/>
    <w:rsid w:val="00DD569B"/>
    <w:rsid w:val="00DD5E70"/>
    <w:rsid w:val="00DD6D91"/>
    <w:rsid w:val="00DD7408"/>
    <w:rsid w:val="00DD7811"/>
    <w:rsid w:val="00DD794E"/>
    <w:rsid w:val="00DE0C7E"/>
    <w:rsid w:val="00DE1E7D"/>
    <w:rsid w:val="00DE2839"/>
    <w:rsid w:val="00DE364B"/>
    <w:rsid w:val="00DE39EA"/>
    <w:rsid w:val="00DE3B1B"/>
    <w:rsid w:val="00DE485D"/>
    <w:rsid w:val="00DE7505"/>
    <w:rsid w:val="00DE7E0A"/>
    <w:rsid w:val="00DF06BD"/>
    <w:rsid w:val="00DF0B73"/>
    <w:rsid w:val="00DF108B"/>
    <w:rsid w:val="00DF2657"/>
    <w:rsid w:val="00DF2768"/>
    <w:rsid w:val="00DF2C4D"/>
    <w:rsid w:val="00DF3239"/>
    <w:rsid w:val="00DF470C"/>
    <w:rsid w:val="00DF5AB3"/>
    <w:rsid w:val="00DF62DB"/>
    <w:rsid w:val="00DF6EC4"/>
    <w:rsid w:val="00E00C0C"/>
    <w:rsid w:val="00E00F11"/>
    <w:rsid w:val="00E01AAF"/>
    <w:rsid w:val="00E01C81"/>
    <w:rsid w:val="00E02207"/>
    <w:rsid w:val="00E04770"/>
    <w:rsid w:val="00E05925"/>
    <w:rsid w:val="00E06BFA"/>
    <w:rsid w:val="00E07045"/>
    <w:rsid w:val="00E0736F"/>
    <w:rsid w:val="00E0756C"/>
    <w:rsid w:val="00E10D72"/>
    <w:rsid w:val="00E11C2E"/>
    <w:rsid w:val="00E12C7B"/>
    <w:rsid w:val="00E1375D"/>
    <w:rsid w:val="00E1420B"/>
    <w:rsid w:val="00E1493F"/>
    <w:rsid w:val="00E14B1A"/>
    <w:rsid w:val="00E15036"/>
    <w:rsid w:val="00E1515F"/>
    <w:rsid w:val="00E168E6"/>
    <w:rsid w:val="00E17671"/>
    <w:rsid w:val="00E17C06"/>
    <w:rsid w:val="00E20DB0"/>
    <w:rsid w:val="00E20E49"/>
    <w:rsid w:val="00E20EDE"/>
    <w:rsid w:val="00E21561"/>
    <w:rsid w:val="00E21929"/>
    <w:rsid w:val="00E2289C"/>
    <w:rsid w:val="00E22E8A"/>
    <w:rsid w:val="00E24DB2"/>
    <w:rsid w:val="00E253B8"/>
    <w:rsid w:val="00E26663"/>
    <w:rsid w:val="00E26D23"/>
    <w:rsid w:val="00E30858"/>
    <w:rsid w:val="00E31295"/>
    <w:rsid w:val="00E3133F"/>
    <w:rsid w:val="00E33D95"/>
    <w:rsid w:val="00E34B4F"/>
    <w:rsid w:val="00E35426"/>
    <w:rsid w:val="00E35600"/>
    <w:rsid w:val="00E35684"/>
    <w:rsid w:val="00E35972"/>
    <w:rsid w:val="00E35D7F"/>
    <w:rsid w:val="00E36128"/>
    <w:rsid w:val="00E363D7"/>
    <w:rsid w:val="00E3689B"/>
    <w:rsid w:val="00E36A41"/>
    <w:rsid w:val="00E37362"/>
    <w:rsid w:val="00E37554"/>
    <w:rsid w:val="00E37E49"/>
    <w:rsid w:val="00E403A2"/>
    <w:rsid w:val="00E4140E"/>
    <w:rsid w:val="00E4179A"/>
    <w:rsid w:val="00E41BEF"/>
    <w:rsid w:val="00E41C5C"/>
    <w:rsid w:val="00E42CA7"/>
    <w:rsid w:val="00E43F5D"/>
    <w:rsid w:val="00E444AD"/>
    <w:rsid w:val="00E449AB"/>
    <w:rsid w:val="00E44CA7"/>
    <w:rsid w:val="00E458FA"/>
    <w:rsid w:val="00E46E71"/>
    <w:rsid w:val="00E47514"/>
    <w:rsid w:val="00E475A3"/>
    <w:rsid w:val="00E479B1"/>
    <w:rsid w:val="00E47A4D"/>
    <w:rsid w:val="00E47E1D"/>
    <w:rsid w:val="00E515A8"/>
    <w:rsid w:val="00E51941"/>
    <w:rsid w:val="00E52EA2"/>
    <w:rsid w:val="00E53681"/>
    <w:rsid w:val="00E53F68"/>
    <w:rsid w:val="00E55C56"/>
    <w:rsid w:val="00E55CFF"/>
    <w:rsid w:val="00E55EEE"/>
    <w:rsid w:val="00E56703"/>
    <w:rsid w:val="00E57EAA"/>
    <w:rsid w:val="00E609F5"/>
    <w:rsid w:val="00E60DAD"/>
    <w:rsid w:val="00E617BE"/>
    <w:rsid w:val="00E61D22"/>
    <w:rsid w:val="00E61D9F"/>
    <w:rsid w:val="00E6235E"/>
    <w:rsid w:val="00E6284D"/>
    <w:rsid w:val="00E62D90"/>
    <w:rsid w:val="00E62F49"/>
    <w:rsid w:val="00E63010"/>
    <w:rsid w:val="00E638E2"/>
    <w:rsid w:val="00E642F4"/>
    <w:rsid w:val="00E658A0"/>
    <w:rsid w:val="00E65D42"/>
    <w:rsid w:val="00E666D2"/>
    <w:rsid w:val="00E719DB"/>
    <w:rsid w:val="00E71E60"/>
    <w:rsid w:val="00E720BA"/>
    <w:rsid w:val="00E72B0F"/>
    <w:rsid w:val="00E73B98"/>
    <w:rsid w:val="00E73FFB"/>
    <w:rsid w:val="00E74D96"/>
    <w:rsid w:val="00E76721"/>
    <w:rsid w:val="00E772B8"/>
    <w:rsid w:val="00E7741B"/>
    <w:rsid w:val="00E7745C"/>
    <w:rsid w:val="00E80FDD"/>
    <w:rsid w:val="00E82639"/>
    <w:rsid w:val="00E82CE6"/>
    <w:rsid w:val="00E83579"/>
    <w:rsid w:val="00E8400A"/>
    <w:rsid w:val="00E84173"/>
    <w:rsid w:val="00E85049"/>
    <w:rsid w:val="00E850E5"/>
    <w:rsid w:val="00E85952"/>
    <w:rsid w:val="00E85B0F"/>
    <w:rsid w:val="00E905EE"/>
    <w:rsid w:val="00E90FF9"/>
    <w:rsid w:val="00E9204D"/>
    <w:rsid w:val="00E92D7D"/>
    <w:rsid w:val="00E92D89"/>
    <w:rsid w:val="00E93339"/>
    <w:rsid w:val="00E942B4"/>
    <w:rsid w:val="00E943DF"/>
    <w:rsid w:val="00E94454"/>
    <w:rsid w:val="00E9453C"/>
    <w:rsid w:val="00E9479A"/>
    <w:rsid w:val="00E9505E"/>
    <w:rsid w:val="00E959AE"/>
    <w:rsid w:val="00E95B22"/>
    <w:rsid w:val="00E95CDE"/>
    <w:rsid w:val="00E95E65"/>
    <w:rsid w:val="00E960FE"/>
    <w:rsid w:val="00EA1695"/>
    <w:rsid w:val="00EA1BB5"/>
    <w:rsid w:val="00EA43FD"/>
    <w:rsid w:val="00EA54D6"/>
    <w:rsid w:val="00EA5715"/>
    <w:rsid w:val="00EA5998"/>
    <w:rsid w:val="00EA5C94"/>
    <w:rsid w:val="00EA6A1B"/>
    <w:rsid w:val="00EB0F11"/>
    <w:rsid w:val="00EB13DA"/>
    <w:rsid w:val="00EB30A9"/>
    <w:rsid w:val="00EB315D"/>
    <w:rsid w:val="00EB33B3"/>
    <w:rsid w:val="00EB4302"/>
    <w:rsid w:val="00EB439B"/>
    <w:rsid w:val="00EB50F0"/>
    <w:rsid w:val="00EB57CC"/>
    <w:rsid w:val="00EB5E25"/>
    <w:rsid w:val="00EB6C59"/>
    <w:rsid w:val="00EB7C9B"/>
    <w:rsid w:val="00EB7E17"/>
    <w:rsid w:val="00EC0B55"/>
    <w:rsid w:val="00EC1BAC"/>
    <w:rsid w:val="00EC1F5A"/>
    <w:rsid w:val="00EC2A3A"/>
    <w:rsid w:val="00EC2B68"/>
    <w:rsid w:val="00EC2E3E"/>
    <w:rsid w:val="00EC41A4"/>
    <w:rsid w:val="00EC4F97"/>
    <w:rsid w:val="00EC59CF"/>
    <w:rsid w:val="00EC5C06"/>
    <w:rsid w:val="00EC64FD"/>
    <w:rsid w:val="00EC65E3"/>
    <w:rsid w:val="00EC7894"/>
    <w:rsid w:val="00EC7A9F"/>
    <w:rsid w:val="00EC7D3E"/>
    <w:rsid w:val="00ED0006"/>
    <w:rsid w:val="00ED09C5"/>
    <w:rsid w:val="00ED0F9C"/>
    <w:rsid w:val="00ED14D3"/>
    <w:rsid w:val="00ED156A"/>
    <w:rsid w:val="00ED1D80"/>
    <w:rsid w:val="00ED22F0"/>
    <w:rsid w:val="00ED49C9"/>
    <w:rsid w:val="00ED6A2B"/>
    <w:rsid w:val="00ED73F5"/>
    <w:rsid w:val="00ED7D87"/>
    <w:rsid w:val="00EE0BED"/>
    <w:rsid w:val="00EE0EEE"/>
    <w:rsid w:val="00EE1880"/>
    <w:rsid w:val="00EE1941"/>
    <w:rsid w:val="00EE30D5"/>
    <w:rsid w:val="00EE3402"/>
    <w:rsid w:val="00EE373B"/>
    <w:rsid w:val="00EE3C33"/>
    <w:rsid w:val="00EE459E"/>
    <w:rsid w:val="00EE547A"/>
    <w:rsid w:val="00EE5B5A"/>
    <w:rsid w:val="00EE6268"/>
    <w:rsid w:val="00EE6801"/>
    <w:rsid w:val="00EE7FF4"/>
    <w:rsid w:val="00EF193E"/>
    <w:rsid w:val="00EF1C5C"/>
    <w:rsid w:val="00EF258D"/>
    <w:rsid w:val="00EF3E0D"/>
    <w:rsid w:val="00EF40D5"/>
    <w:rsid w:val="00EF4F47"/>
    <w:rsid w:val="00EF5B8C"/>
    <w:rsid w:val="00EF60E1"/>
    <w:rsid w:val="00EF6505"/>
    <w:rsid w:val="00F005A1"/>
    <w:rsid w:val="00F0123F"/>
    <w:rsid w:val="00F0201C"/>
    <w:rsid w:val="00F04C00"/>
    <w:rsid w:val="00F0523F"/>
    <w:rsid w:val="00F0535F"/>
    <w:rsid w:val="00F107AA"/>
    <w:rsid w:val="00F10888"/>
    <w:rsid w:val="00F1141D"/>
    <w:rsid w:val="00F1225A"/>
    <w:rsid w:val="00F122A6"/>
    <w:rsid w:val="00F122AD"/>
    <w:rsid w:val="00F12F92"/>
    <w:rsid w:val="00F13411"/>
    <w:rsid w:val="00F13947"/>
    <w:rsid w:val="00F1498E"/>
    <w:rsid w:val="00F149FA"/>
    <w:rsid w:val="00F15085"/>
    <w:rsid w:val="00F15C29"/>
    <w:rsid w:val="00F165A4"/>
    <w:rsid w:val="00F16895"/>
    <w:rsid w:val="00F16FCF"/>
    <w:rsid w:val="00F17372"/>
    <w:rsid w:val="00F17600"/>
    <w:rsid w:val="00F17AC5"/>
    <w:rsid w:val="00F17B9D"/>
    <w:rsid w:val="00F17E2C"/>
    <w:rsid w:val="00F2020B"/>
    <w:rsid w:val="00F2023D"/>
    <w:rsid w:val="00F204DD"/>
    <w:rsid w:val="00F21837"/>
    <w:rsid w:val="00F2303E"/>
    <w:rsid w:val="00F23314"/>
    <w:rsid w:val="00F23646"/>
    <w:rsid w:val="00F23719"/>
    <w:rsid w:val="00F2575F"/>
    <w:rsid w:val="00F258B6"/>
    <w:rsid w:val="00F25D2B"/>
    <w:rsid w:val="00F2622A"/>
    <w:rsid w:val="00F26BE5"/>
    <w:rsid w:val="00F26DB8"/>
    <w:rsid w:val="00F27847"/>
    <w:rsid w:val="00F30092"/>
    <w:rsid w:val="00F3042C"/>
    <w:rsid w:val="00F30E03"/>
    <w:rsid w:val="00F310A2"/>
    <w:rsid w:val="00F31EB6"/>
    <w:rsid w:val="00F3220F"/>
    <w:rsid w:val="00F32F62"/>
    <w:rsid w:val="00F335DE"/>
    <w:rsid w:val="00F34099"/>
    <w:rsid w:val="00F344F1"/>
    <w:rsid w:val="00F35552"/>
    <w:rsid w:val="00F36654"/>
    <w:rsid w:val="00F37BBC"/>
    <w:rsid w:val="00F40BE1"/>
    <w:rsid w:val="00F40CBB"/>
    <w:rsid w:val="00F40D92"/>
    <w:rsid w:val="00F40E9E"/>
    <w:rsid w:val="00F40F9F"/>
    <w:rsid w:val="00F41050"/>
    <w:rsid w:val="00F43306"/>
    <w:rsid w:val="00F433B2"/>
    <w:rsid w:val="00F43862"/>
    <w:rsid w:val="00F44627"/>
    <w:rsid w:val="00F45178"/>
    <w:rsid w:val="00F45527"/>
    <w:rsid w:val="00F45C83"/>
    <w:rsid w:val="00F45F78"/>
    <w:rsid w:val="00F4628C"/>
    <w:rsid w:val="00F470C4"/>
    <w:rsid w:val="00F47897"/>
    <w:rsid w:val="00F478F4"/>
    <w:rsid w:val="00F50703"/>
    <w:rsid w:val="00F51247"/>
    <w:rsid w:val="00F5173C"/>
    <w:rsid w:val="00F51F05"/>
    <w:rsid w:val="00F51F5A"/>
    <w:rsid w:val="00F520DB"/>
    <w:rsid w:val="00F52BC3"/>
    <w:rsid w:val="00F53561"/>
    <w:rsid w:val="00F53EDA"/>
    <w:rsid w:val="00F53FB9"/>
    <w:rsid w:val="00F54A3C"/>
    <w:rsid w:val="00F56A9F"/>
    <w:rsid w:val="00F56C00"/>
    <w:rsid w:val="00F570B9"/>
    <w:rsid w:val="00F5774C"/>
    <w:rsid w:val="00F57CA8"/>
    <w:rsid w:val="00F608A4"/>
    <w:rsid w:val="00F60FF5"/>
    <w:rsid w:val="00F63511"/>
    <w:rsid w:val="00F6492E"/>
    <w:rsid w:val="00F651E1"/>
    <w:rsid w:val="00F658A6"/>
    <w:rsid w:val="00F66C1D"/>
    <w:rsid w:val="00F66F3A"/>
    <w:rsid w:val="00F67480"/>
    <w:rsid w:val="00F712E0"/>
    <w:rsid w:val="00F714CC"/>
    <w:rsid w:val="00F71C6F"/>
    <w:rsid w:val="00F72562"/>
    <w:rsid w:val="00F730A1"/>
    <w:rsid w:val="00F734F2"/>
    <w:rsid w:val="00F7479A"/>
    <w:rsid w:val="00F74B90"/>
    <w:rsid w:val="00F75C46"/>
    <w:rsid w:val="00F76075"/>
    <w:rsid w:val="00F76B1D"/>
    <w:rsid w:val="00F76DA1"/>
    <w:rsid w:val="00F76DE2"/>
    <w:rsid w:val="00F80251"/>
    <w:rsid w:val="00F80625"/>
    <w:rsid w:val="00F80700"/>
    <w:rsid w:val="00F81CF8"/>
    <w:rsid w:val="00F82469"/>
    <w:rsid w:val="00F826CF"/>
    <w:rsid w:val="00F83799"/>
    <w:rsid w:val="00F83B6A"/>
    <w:rsid w:val="00F84F2C"/>
    <w:rsid w:val="00F86397"/>
    <w:rsid w:val="00F8659C"/>
    <w:rsid w:val="00F86AFE"/>
    <w:rsid w:val="00F86E02"/>
    <w:rsid w:val="00F87DBD"/>
    <w:rsid w:val="00F90009"/>
    <w:rsid w:val="00F91B23"/>
    <w:rsid w:val="00F91BF2"/>
    <w:rsid w:val="00F91DC7"/>
    <w:rsid w:val="00F91EDF"/>
    <w:rsid w:val="00F92E39"/>
    <w:rsid w:val="00F94150"/>
    <w:rsid w:val="00F94D00"/>
    <w:rsid w:val="00F9505C"/>
    <w:rsid w:val="00F95112"/>
    <w:rsid w:val="00F95C97"/>
    <w:rsid w:val="00F96211"/>
    <w:rsid w:val="00F96E80"/>
    <w:rsid w:val="00F97FCB"/>
    <w:rsid w:val="00FA0DF4"/>
    <w:rsid w:val="00FA1EAB"/>
    <w:rsid w:val="00FA1F3A"/>
    <w:rsid w:val="00FA2199"/>
    <w:rsid w:val="00FA21B3"/>
    <w:rsid w:val="00FA22C4"/>
    <w:rsid w:val="00FA2B07"/>
    <w:rsid w:val="00FA2BA7"/>
    <w:rsid w:val="00FA30E6"/>
    <w:rsid w:val="00FA40EB"/>
    <w:rsid w:val="00FA4749"/>
    <w:rsid w:val="00FA4C38"/>
    <w:rsid w:val="00FA555A"/>
    <w:rsid w:val="00FA5EC5"/>
    <w:rsid w:val="00FA6019"/>
    <w:rsid w:val="00FA6431"/>
    <w:rsid w:val="00FA7883"/>
    <w:rsid w:val="00FA7EF8"/>
    <w:rsid w:val="00FB07FC"/>
    <w:rsid w:val="00FB2248"/>
    <w:rsid w:val="00FB2466"/>
    <w:rsid w:val="00FB25EF"/>
    <w:rsid w:val="00FB2A5D"/>
    <w:rsid w:val="00FB3FCE"/>
    <w:rsid w:val="00FB40EF"/>
    <w:rsid w:val="00FB444D"/>
    <w:rsid w:val="00FB497A"/>
    <w:rsid w:val="00FB4ACF"/>
    <w:rsid w:val="00FB4CBB"/>
    <w:rsid w:val="00FB5313"/>
    <w:rsid w:val="00FB61ED"/>
    <w:rsid w:val="00FB72A1"/>
    <w:rsid w:val="00FB7510"/>
    <w:rsid w:val="00FB79F3"/>
    <w:rsid w:val="00FB7F0E"/>
    <w:rsid w:val="00FC02A7"/>
    <w:rsid w:val="00FC1A3C"/>
    <w:rsid w:val="00FC1BA6"/>
    <w:rsid w:val="00FC1E89"/>
    <w:rsid w:val="00FC28B1"/>
    <w:rsid w:val="00FC2C35"/>
    <w:rsid w:val="00FC3D6C"/>
    <w:rsid w:val="00FC448B"/>
    <w:rsid w:val="00FC521E"/>
    <w:rsid w:val="00FC5F17"/>
    <w:rsid w:val="00FD058A"/>
    <w:rsid w:val="00FD0A1C"/>
    <w:rsid w:val="00FD1F04"/>
    <w:rsid w:val="00FD5252"/>
    <w:rsid w:val="00FD6BFB"/>
    <w:rsid w:val="00FD7318"/>
    <w:rsid w:val="00FD7C2C"/>
    <w:rsid w:val="00FE1DEB"/>
    <w:rsid w:val="00FE1F0F"/>
    <w:rsid w:val="00FE23A3"/>
    <w:rsid w:val="00FE2A93"/>
    <w:rsid w:val="00FE3722"/>
    <w:rsid w:val="00FE392B"/>
    <w:rsid w:val="00FE39D4"/>
    <w:rsid w:val="00FE44D0"/>
    <w:rsid w:val="00FE537A"/>
    <w:rsid w:val="00FE5C48"/>
    <w:rsid w:val="00FE5E21"/>
    <w:rsid w:val="00FE6958"/>
    <w:rsid w:val="00FE7128"/>
    <w:rsid w:val="00FF00F7"/>
    <w:rsid w:val="00FF0115"/>
    <w:rsid w:val="00FF04B8"/>
    <w:rsid w:val="00FF2BD3"/>
    <w:rsid w:val="00FF331F"/>
    <w:rsid w:val="00FF34B2"/>
    <w:rsid w:val="00FF5173"/>
    <w:rsid w:val="00FF5D48"/>
    <w:rsid w:val="00FF5FB8"/>
    <w:rsid w:val="00FF6B27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4C811"/>
  <w15:chartTrackingRefBased/>
  <w15:docId w15:val="{A95B33C4-4613-4179-8058-11D48A4D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2CD"/>
  </w:style>
  <w:style w:type="paragraph" w:styleId="Heading1">
    <w:name w:val="heading 1"/>
    <w:basedOn w:val="Normal"/>
    <w:next w:val="Normal"/>
    <w:link w:val="Heading1Char"/>
    <w:uiPriority w:val="9"/>
    <w:qFormat/>
    <w:rsid w:val="000A3E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6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F478F4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27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270D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B270D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478F4"/>
    <w:rPr>
      <w:rFonts w:eastAsia="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unhideWhenUsed/>
    <w:rsid w:val="00F478F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F478F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D35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454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A3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ite-title">
    <w:name w:val="site-title"/>
    <w:basedOn w:val="Normal"/>
    <w:rsid w:val="000A3EB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ite-description">
    <w:name w:val="site-description"/>
    <w:basedOn w:val="Normal"/>
    <w:rsid w:val="000A3EB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enu-item">
    <w:name w:val="menu-item"/>
    <w:basedOn w:val="Normal"/>
    <w:rsid w:val="000A3EB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screen-reader-text">
    <w:name w:val="screen-reader-text"/>
    <w:basedOn w:val="DefaultParagraphFont"/>
    <w:rsid w:val="000A3EB8"/>
  </w:style>
  <w:style w:type="character" w:customStyle="1" w:styleId="cat-links">
    <w:name w:val="cat-links"/>
    <w:basedOn w:val="DefaultParagraphFont"/>
    <w:rsid w:val="000A3EB8"/>
  </w:style>
  <w:style w:type="character" w:customStyle="1" w:styleId="byline">
    <w:name w:val="byline"/>
    <w:basedOn w:val="DefaultParagraphFont"/>
    <w:rsid w:val="000A3EB8"/>
  </w:style>
  <w:style w:type="character" w:customStyle="1" w:styleId="author">
    <w:name w:val="author"/>
    <w:basedOn w:val="DefaultParagraphFont"/>
    <w:rsid w:val="000A3EB8"/>
  </w:style>
  <w:style w:type="character" w:customStyle="1" w:styleId="posted-on">
    <w:name w:val="posted-on"/>
    <w:basedOn w:val="DefaultParagraphFont"/>
    <w:rsid w:val="000A3EB8"/>
  </w:style>
  <w:style w:type="character" w:styleId="Strong">
    <w:name w:val="Strong"/>
    <w:basedOn w:val="DefaultParagraphFont"/>
    <w:uiPriority w:val="22"/>
    <w:qFormat/>
    <w:rsid w:val="00F44627"/>
    <w:rPr>
      <w:b/>
      <w:bCs/>
    </w:rPr>
  </w:style>
  <w:style w:type="table" w:styleId="TableGrid">
    <w:name w:val="Table Grid"/>
    <w:basedOn w:val="TableNormal"/>
    <w:uiPriority w:val="39"/>
    <w:rsid w:val="00074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7005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6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6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1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ECD"/>
  </w:style>
  <w:style w:type="paragraph" w:styleId="Footer">
    <w:name w:val="footer"/>
    <w:basedOn w:val="Normal"/>
    <w:link w:val="FooterChar"/>
    <w:uiPriority w:val="99"/>
    <w:unhideWhenUsed/>
    <w:rsid w:val="00AB1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ECD"/>
  </w:style>
  <w:style w:type="character" w:styleId="CommentReference">
    <w:name w:val="annotation reference"/>
    <w:basedOn w:val="DefaultParagraphFont"/>
    <w:uiPriority w:val="99"/>
    <w:semiHidden/>
    <w:unhideWhenUsed/>
    <w:rsid w:val="00CF51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51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51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1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1E1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6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21224D"/>
    <w:rPr>
      <w:color w:val="954F72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C70105"/>
    <w:rPr>
      <w:i/>
      <w:iCs/>
    </w:rPr>
  </w:style>
  <w:style w:type="character" w:customStyle="1" w:styleId="reference-accessdate">
    <w:name w:val="reference-accessdate"/>
    <w:basedOn w:val="DefaultParagraphFont"/>
    <w:rsid w:val="00C70105"/>
  </w:style>
  <w:style w:type="character" w:customStyle="1" w:styleId="nowrap">
    <w:name w:val="nowrap"/>
    <w:basedOn w:val="DefaultParagraphFont"/>
    <w:rsid w:val="00C70105"/>
  </w:style>
  <w:style w:type="paragraph" w:styleId="BodyText">
    <w:name w:val="Body Text"/>
    <w:basedOn w:val="Normal"/>
    <w:link w:val="BodyTextChar"/>
    <w:uiPriority w:val="1"/>
    <w:qFormat/>
    <w:rsid w:val="00B07AB3"/>
    <w:pPr>
      <w:autoSpaceDE w:val="0"/>
      <w:autoSpaceDN w:val="0"/>
      <w:adjustRightInd w:val="0"/>
      <w:spacing w:after="0" w:line="240" w:lineRule="auto"/>
      <w:ind w:left="40"/>
    </w:pPr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07AB3"/>
    <w:rPr>
      <w:rFonts w:ascii="Arial" w:hAnsi="Arial" w:cs="Arial"/>
      <w:sz w:val="22"/>
    </w:rPr>
  </w:style>
  <w:style w:type="table" w:customStyle="1" w:styleId="TableGrid11">
    <w:name w:val="Table Grid11"/>
    <w:basedOn w:val="TableNormal"/>
    <w:next w:val="TableGrid"/>
    <w:uiPriority w:val="39"/>
    <w:rsid w:val="004D43C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685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table" w:customStyle="1" w:styleId="TableGrid12">
    <w:name w:val="Table Grid12"/>
    <w:basedOn w:val="TableNormal"/>
    <w:next w:val="TableGrid"/>
    <w:uiPriority w:val="39"/>
    <w:rsid w:val="00FC1BA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39"/>
    <w:rsid w:val="00A823E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A4"/>
    <w:uiPriority w:val="99"/>
    <w:rsid w:val="00031AD8"/>
    <w:rPr>
      <w:i/>
      <w:iCs/>
      <w:color w:val="211D1E"/>
      <w:sz w:val="22"/>
      <w:szCs w:val="22"/>
    </w:rPr>
  </w:style>
  <w:style w:type="paragraph" w:styleId="Revision">
    <w:name w:val="Revision"/>
    <w:hidden/>
    <w:uiPriority w:val="99"/>
    <w:semiHidden/>
    <w:rsid w:val="002455FF"/>
    <w:pPr>
      <w:spacing w:after="0" w:line="240" w:lineRule="auto"/>
    </w:pPr>
  </w:style>
  <w:style w:type="paragraph" w:customStyle="1" w:styleId="pf0">
    <w:name w:val="pf0"/>
    <w:basedOn w:val="Normal"/>
    <w:rsid w:val="0099436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efaultParagraphFont"/>
    <w:rsid w:val="0099436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823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4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5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8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7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0540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4541">
                      <w:marLeft w:val="0"/>
                      <w:marRight w:val="0"/>
                      <w:marTop w:val="0"/>
                      <w:marBottom w:val="55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33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7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62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5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definitions.net/definition/wrote" TargetMode="External"/><Relationship Id="rId18" Type="http://schemas.openxmlformats.org/officeDocument/2006/relationships/hyperlink" Target="https://www.loc.gov/item/ihas.100005129%2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nsidehighered.com/blogs/higher-ed-gamma/general-education-curriculum-we-need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definitions.net/definition/bashful" TargetMode="External"/><Relationship Id="rId17" Type="http://schemas.openxmlformats.org/officeDocument/2006/relationships/hyperlink" Target="https://carnegieclassifications.acenet.edu/downloads/CCIHE2018-FactsFigures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arnegieclassifications.acenet.edu/carnegie-classification/classification-methodology/size-setting-classification/" TargetMode="External"/><Relationship Id="rId20" Type="http://schemas.openxmlformats.org/officeDocument/2006/relationships/hyperlink" Target="https://floridacollegeaccess.org/news/meta-major-college-access-word-of-the-week%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finitions.net/definition/hickory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theatlantic.com/ideas/archive/2019/02/charles-eliot-saw-promise-public-high-schools/582967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definitions.net/definition/golden" TargetMode="External"/><Relationship Id="rId19" Type="http://schemas.openxmlformats.org/officeDocument/2006/relationships/hyperlink" Target="https://ccrc.tc.columbia.edu/media/k2/attachments/policy-brief-guided-pathway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efinitions.net/definition/school" TargetMode="External"/><Relationship Id="rId14" Type="http://schemas.openxmlformats.org/officeDocument/2006/relationships/hyperlink" Target="https://www.definitions.net/definition/couple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195F4-22EF-4059-8BE2-313B95779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4383</Words>
  <Characters>24987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O'Banion</dc:creator>
  <cp:keywords/>
  <dc:description/>
  <cp:lastModifiedBy>Terry O'Banion</cp:lastModifiedBy>
  <cp:revision>2</cp:revision>
  <cp:lastPrinted>2020-12-24T18:25:00Z</cp:lastPrinted>
  <dcterms:created xsi:type="dcterms:W3CDTF">2023-06-10T17:29:00Z</dcterms:created>
  <dcterms:modified xsi:type="dcterms:W3CDTF">2023-06-10T17:29:00Z</dcterms:modified>
</cp:coreProperties>
</file>